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E4" w:rsidRPr="00EE03DF" w:rsidRDefault="00291BDE" w:rsidP="00CC2024">
      <w:r w:rsidRPr="00EE03DF">
        <w:t>БИЗНЕС ПЛАН</w:t>
      </w:r>
    </w:p>
    <w:p w:rsidR="00291BDE" w:rsidRPr="00EE03DF" w:rsidRDefault="00291BDE" w:rsidP="00CC2024">
      <w:r w:rsidRPr="00EE03DF">
        <w:t>Строительства опытной электростанции с буферизацией давления</w:t>
      </w:r>
      <w:r w:rsidR="00EE36F2">
        <w:t xml:space="preserve"> </w:t>
      </w:r>
      <w:bookmarkStart w:id="0" w:name="OLE_LINK19"/>
      <w:r w:rsidR="00EE36F2">
        <w:t>с целью вывода технологии на рынок и начала продаж лицензий на неё</w:t>
      </w:r>
      <w:bookmarkEnd w:id="0"/>
    </w:p>
    <w:p w:rsidR="00291BDE" w:rsidRPr="00EE03DF" w:rsidRDefault="00291BDE" w:rsidP="00CC2024">
      <w:r w:rsidRPr="00EE03DF">
        <w:t>Москва 201</w:t>
      </w:r>
      <w:r w:rsidR="0097659D" w:rsidRPr="00EE03DF">
        <w:t>8</w:t>
      </w:r>
      <w:r w:rsidRPr="00EE03DF">
        <w:t xml:space="preserve"> год</w:t>
      </w:r>
    </w:p>
    <w:p w:rsidR="00291BDE" w:rsidRPr="00EE03DF" w:rsidRDefault="00291BDE" w:rsidP="00CC2024"/>
    <w:p w:rsidR="00291BDE" w:rsidRPr="00EE03DF" w:rsidRDefault="00C07CE0" w:rsidP="00CC2024">
      <w:pPr>
        <w:pStyle w:val="1List"/>
      </w:pPr>
      <w:r w:rsidRPr="00EE03DF">
        <w:t>Информация о претенденте</w:t>
      </w:r>
    </w:p>
    <w:p w:rsidR="00C07CE0" w:rsidRPr="00EE03DF" w:rsidRDefault="00C07CE0" w:rsidP="00A17059">
      <w:pPr>
        <w:pStyle w:val="11List"/>
      </w:pPr>
      <w:r w:rsidRPr="00EE03DF">
        <w:t>Наименование юридического лица</w:t>
      </w:r>
      <w:r w:rsidR="0009538B" w:rsidRPr="00EE03DF">
        <w:t>-претендента</w:t>
      </w:r>
      <w:r w:rsidRPr="00EE03DF">
        <w:t>.</w:t>
      </w:r>
    </w:p>
    <w:p w:rsidR="00E81B07" w:rsidRPr="00EE03DF" w:rsidRDefault="00E81B07" w:rsidP="00CC2024">
      <w:r w:rsidRPr="00EE03DF">
        <w:rPr>
          <w:lang w:val="en-US"/>
        </w:rPr>
        <w:t>Bogorodsky Power Corporation</w:t>
      </w:r>
    </w:p>
    <w:p w:rsidR="00C07CE0" w:rsidRPr="00EE03DF" w:rsidRDefault="00C07CE0" w:rsidP="00A17059">
      <w:pPr>
        <w:pStyle w:val="11List"/>
      </w:pPr>
      <w:r w:rsidRPr="00EE03DF">
        <w:t>Организационно-правовая форма.</w:t>
      </w:r>
    </w:p>
    <w:p w:rsidR="00E81B07" w:rsidRPr="00EE03DF" w:rsidRDefault="00E81B07" w:rsidP="00964BA2">
      <w:pPr>
        <w:rPr>
          <w:lang w:val="en-US"/>
        </w:rPr>
      </w:pPr>
      <w:bookmarkStart w:id="1" w:name="OLE_LINK1"/>
      <w:r w:rsidRPr="00EE03DF">
        <w:rPr>
          <w:lang w:val="en-US"/>
        </w:rPr>
        <w:t>C Corporation</w:t>
      </w:r>
      <w:bookmarkEnd w:id="1"/>
    </w:p>
    <w:p w:rsidR="00964BA2" w:rsidRPr="00964BA2" w:rsidRDefault="00E81B07" w:rsidP="00964BA2">
      <w:pPr>
        <w:rPr>
          <w:lang w:val="en-US"/>
        </w:rPr>
      </w:pPr>
      <w:r w:rsidRPr="00EE03DF">
        <w:rPr>
          <w:lang w:val="en-US"/>
        </w:rPr>
        <w:t>A C corporation, under United States federal income tax law, refers to any corporation that is taxed separately from its owners.</w:t>
      </w:r>
    </w:p>
    <w:p w:rsidR="00C07CE0" w:rsidRPr="00EE03DF" w:rsidRDefault="00C07CE0" w:rsidP="00A17059">
      <w:pPr>
        <w:pStyle w:val="11List"/>
      </w:pPr>
      <w:r w:rsidRPr="00EE03DF">
        <w:t>Дата регистрации, номер регистрационного свидетельства, наименование органа регистрации.</w:t>
      </w:r>
    </w:p>
    <w:p w:rsidR="00E81B07" w:rsidRPr="00EE03DF" w:rsidRDefault="00E81B07" w:rsidP="00964BA2">
      <w:pPr>
        <w:rPr>
          <w:lang w:val="en-US"/>
        </w:rPr>
      </w:pPr>
      <w:r w:rsidRPr="00EE03DF">
        <w:rPr>
          <w:lang w:val="en-US"/>
        </w:rPr>
        <w:t>11 Jan 2016, C3862555, Secretary of State, State of California</w:t>
      </w:r>
    </w:p>
    <w:p w:rsidR="00C07CE0" w:rsidRPr="00EE03DF" w:rsidRDefault="00C07CE0" w:rsidP="00A17059">
      <w:pPr>
        <w:pStyle w:val="11List"/>
      </w:pPr>
      <w:bookmarkStart w:id="2" w:name="OLE_LINK9"/>
      <w:r w:rsidRPr="00EE03DF">
        <w:t>Место регистрации и почтовый адрес претендента.</w:t>
      </w:r>
    </w:p>
    <w:p w:rsidR="00E81B07" w:rsidRPr="00EE03DF" w:rsidRDefault="00E81B07" w:rsidP="00964BA2">
      <w:pPr>
        <w:rPr>
          <w:lang w:val="en-US"/>
        </w:rPr>
      </w:pPr>
      <w:r w:rsidRPr="00EE03DF">
        <w:rPr>
          <w:lang w:val="en-US"/>
        </w:rPr>
        <w:t>3081 VESSING RD., PLEASANT HILL, CA  94523</w:t>
      </w:r>
    </w:p>
    <w:p w:rsidR="00C07CE0" w:rsidRPr="00EE03DF" w:rsidRDefault="00C07CE0" w:rsidP="00A17059">
      <w:pPr>
        <w:pStyle w:val="11List"/>
      </w:pPr>
      <w:r w:rsidRPr="00EE03DF">
        <w:t>ФИО, номера телефонов руководителя (руководителей) претендента.</w:t>
      </w:r>
    </w:p>
    <w:p w:rsidR="00E81B07" w:rsidRPr="00EE03DF" w:rsidRDefault="00E81B07" w:rsidP="00964BA2">
      <w:r w:rsidRPr="00EE03DF">
        <w:rPr>
          <w:lang w:val="en-US"/>
        </w:rPr>
        <w:t xml:space="preserve">Anatoliy Lisovskiy, </w:t>
      </w:r>
      <w:r w:rsidR="00821678" w:rsidRPr="00EE03DF">
        <w:rPr>
          <w:lang w:val="en-US"/>
        </w:rPr>
        <w:t>925-451-8377</w:t>
      </w:r>
    </w:p>
    <w:bookmarkEnd w:id="2"/>
    <w:p w:rsidR="00C07CE0" w:rsidRPr="00EE03DF" w:rsidRDefault="00213159" w:rsidP="00A17059">
      <w:pPr>
        <w:pStyle w:val="11List"/>
      </w:pPr>
      <w:r w:rsidRPr="00EE03DF">
        <w:t>Вид экономической деятельности юридического лица.</w:t>
      </w:r>
    </w:p>
    <w:p w:rsidR="00821678" w:rsidRPr="00EE03DF" w:rsidRDefault="00821678" w:rsidP="00964BA2">
      <w:r w:rsidRPr="00EE03DF">
        <w:t>Управление инеллектуальными правами (лицензирование)</w:t>
      </w:r>
    </w:p>
    <w:p w:rsidR="00EF77EE" w:rsidRPr="00EE03DF" w:rsidRDefault="00EF77EE" w:rsidP="00A17059">
      <w:pPr>
        <w:pStyle w:val="11List"/>
      </w:pPr>
      <w:r w:rsidRPr="00EE03DF">
        <w:t>Срок реализации проекта.</w:t>
      </w:r>
    </w:p>
    <w:p w:rsidR="00821678" w:rsidRPr="00EE03DF" w:rsidRDefault="00990B14" w:rsidP="00964BA2">
      <w:r>
        <w:t>2020</w:t>
      </w:r>
      <w:r w:rsidR="000F6BFB" w:rsidRPr="00EE03DF">
        <w:t>-202</w:t>
      </w:r>
      <w:r w:rsidR="001B2323">
        <w:t>6</w:t>
      </w:r>
      <w:r w:rsidR="0067144B">
        <w:tab/>
      </w:r>
    </w:p>
    <w:p w:rsidR="00EF77EE" w:rsidRPr="00EE03DF" w:rsidRDefault="002A38BE" w:rsidP="00A17059">
      <w:pPr>
        <w:pStyle w:val="11List"/>
      </w:pPr>
      <w:r w:rsidRPr="00EE03DF">
        <w:t>Полная стоимость реализации проекта, ожидаемые источники денежных средств и их структура:</w:t>
      </w:r>
    </w:p>
    <w:p w:rsidR="000F6BFB" w:rsidRPr="00EE03DF" w:rsidRDefault="000F6BFB" w:rsidP="00A17059">
      <w:pPr>
        <w:pStyle w:val="111List"/>
      </w:pPr>
      <w:r w:rsidRPr="00EE03DF">
        <w:t>Собственные средства: 20</w:t>
      </w:r>
      <w:r w:rsidR="00067C22" w:rsidRPr="00EE03DF">
        <w:t> </w:t>
      </w:r>
      <w:r w:rsidRPr="00EE03DF">
        <w:t>000</w:t>
      </w:r>
      <w:r w:rsidR="00067C22" w:rsidRPr="00EE03DF">
        <w:t xml:space="preserve">$ + </w:t>
      </w:r>
      <w:r w:rsidR="00BF0222" w:rsidRPr="00EE03DF">
        <w:t>интеллектуальная собственность в виде</w:t>
      </w:r>
      <w:r w:rsidR="00067C22" w:rsidRPr="00EE03DF">
        <w:t xml:space="preserve"> лицензий на 5 ГВт</w:t>
      </w:r>
      <w:r w:rsidR="00036207" w:rsidRPr="00EE03DF">
        <w:t xml:space="preserve"> предварительной стоимостью 1 000 000 000</w:t>
      </w:r>
      <w:r w:rsidR="00036207" w:rsidRPr="00EE03DF">
        <w:rPr>
          <w:lang w:val="en-US"/>
        </w:rPr>
        <w:t>$</w:t>
      </w:r>
      <w:r w:rsidR="00067C22" w:rsidRPr="00EE03DF">
        <w:t>;</w:t>
      </w:r>
    </w:p>
    <w:p w:rsidR="002A38BE" w:rsidRPr="00EE03DF" w:rsidRDefault="0097659D" w:rsidP="00534A9D">
      <w:r w:rsidRPr="00EE03DF">
        <w:t xml:space="preserve">Заёмные средства: </w:t>
      </w:r>
      <w:r w:rsidR="00EF1F5F">
        <w:t>8</w:t>
      </w:r>
      <w:r w:rsidR="000F6BFB" w:rsidRPr="00EE03DF">
        <w:t> </w:t>
      </w:r>
      <w:r w:rsidR="00990B14">
        <w:t>0</w:t>
      </w:r>
      <w:r w:rsidR="000F6BFB" w:rsidRPr="00EE03DF">
        <w:t>00</w:t>
      </w:r>
      <w:r w:rsidR="00067C22" w:rsidRPr="00EE03DF">
        <w:t> </w:t>
      </w:r>
      <w:r w:rsidR="000F6BFB" w:rsidRPr="00EE03DF">
        <w:t>000</w:t>
      </w:r>
      <w:r w:rsidR="00067C22" w:rsidRPr="00EE03DF">
        <w:rPr>
          <w:lang w:val="en-US"/>
        </w:rPr>
        <w:t>$</w:t>
      </w:r>
      <w:r w:rsidR="000F6BFB" w:rsidRPr="00EE03DF">
        <w:t>;</w:t>
      </w:r>
    </w:p>
    <w:p w:rsidR="002A38BE" w:rsidRPr="00EE03DF" w:rsidRDefault="000F6BFB" w:rsidP="00534A9D">
      <w:pPr>
        <w:pStyle w:val="11List"/>
      </w:pPr>
      <w:r w:rsidRPr="00EE03DF">
        <w:t xml:space="preserve">Дата составления бизнес плана: </w:t>
      </w:r>
      <w:r w:rsidR="0097659D" w:rsidRPr="00EE03DF">
        <w:t>01</w:t>
      </w:r>
      <w:r w:rsidRPr="00EE03DF">
        <w:t>/</w:t>
      </w:r>
      <w:r w:rsidR="0097659D" w:rsidRPr="00EE03DF">
        <w:t>03</w:t>
      </w:r>
      <w:r w:rsidRPr="00EE03DF">
        <w:t>/201</w:t>
      </w:r>
      <w:r w:rsidR="00990B14">
        <w:t>9</w:t>
      </w:r>
      <w:r w:rsidRPr="00EE03DF">
        <w:t>.</w:t>
      </w:r>
    </w:p>
    <w:p w:rsidR="00CC2024" w:rsidRDefault="00CC2024" w:rsidP="00CC2024">
      <w:pPr>
        <w:pStyle w:val="ListParagraph"/>
        <w:ind w:left="360" w:firstLine="0"/>
      </w:pPr>
    </w:p>
    <w:p w:rsidR="00BF0222" w:rsidRPr="00EE03DF" w:rsidRDefault="007673D5" w:rsidP="00534A9D">
      <w:pPr>
        <w:pStyle w:val="1List"/>
      </w:pPr>
      <w:r w:rsidRPr="00EE03DF">
        <w:t xml:space="preserve">Вводная часть </w:t>
      </w:r>
    </w:p>
    <w:p w:rsidR="0097659D" w:rsidRPr="00EE03DF" w:rsidRDefault="0097659D" w:rsidP="00CC2024">
      <w:pPr>
        <w:pStyle w:val="ListParagraph"/>
      </w:pPr>
    </w:p>
    <w:p w:rsidR="00EE03DF" w:rsidRDefault="0097659D" w:rsidP="00CC2024">
      <w:r w:rsidRPr="00EE03DF">
        <w:rPr>
          <w:lang w:val="en-US"/>
        </w:rPr>
        <w:lastRenderedPageBreak/>
        <w:t>US</w:t>
      </w:r>
      <w:r w:rsidRPr="00EE03DF">
        <w:t xml:space="preserve"> </w:t>
      </w:r>
      <w:r w:rsidRPr="00EE03DF">
        <w:rPr>
          <w:lang w:val="en-US"/>
        </w:rPr>
        <w:t>Energy</w:t>
      </w:r>
      <w:r w:rsidRPr="00EE03DF">
        <w:t xml:space="preserve"> </w:t>
      </w:r>
      <w:r w:rsidRPr="00EE03DF">
        <w:rPr>
          <w:lang w:val="en-US"/>
        </w:rPr>
        <w:t>Information</w:t>
      </w:r>
      <w:r w:rsidRPr="00EE03DF">
        <w:t xml:space="preserve"> </w:t>
      </w:r>
      <w:r w:rsidRPr="00EE03DF">
        <w:rPr>
          <w:lang w:val="en-US"/>
        </w:rPr>
        <w:t>Administration</w:t>
      </w:r>
      <w:r w:rsidRPr="00EE03DF">
        <w:t xml:space="preserve"> планирует </w:t>
      </w:r>
      <w:r w:rsidR="00732C38">
        <w:t xml:space="preserve">к 2025 году </w:t>
      </w:r>
      <w:r w:rsidRPr="00EE03DF">
        <w:t>для рынка США уровень ветроэлектрогенерации порядка 500 миллиардов киловатт-часов в год, то есть, порядка 140 ГВт эффективной или порядка 400 ГВт установленной мощности ветряков. Станции нашего типа способны эту генерацию превратить из непрогнозируемой в высокоманевровую, чтобы удовлетворять ею пики потребления.</w:t>
      </w:r>
    </w:p>
    <w:p w:rsidR="00EE03DF" w:rsidRDefault="0097659D" w:rsidP="00CC2024">
      <w:r w:rsidRPr="00EE03DF">
        <w:t xml:space="preserve">На сегодняшний день операторы таких </w:t>
      </w:r>
      <w:r w:rsidR="00EE03DF">
        <w:t>ветро</w:t>
      </w:r>
      <w:r w:rsidRPr="00EE03DF">
        <w:t>электростанций прикладывают максимум усилий, чтобы сбывать электроэнергию дороже, но покупатели рады тому, что скупают её дешевле.</w:t>
      </w:r>
      <w:r w:rsidR="00EE03DF">
        <w:t xml:space="preserve"> Операторы покрывают разницу в цене за счёт «энергетических кредитов» </w:t>
      </w:r>
      <w:r w:rsidR="00EE03DF" w:rsidRPr="00EE03DF">
        <w:t>OREC</w:t>
      </w:r>
      <w:r w:rsidR="00EE03DF">
        <w:t>, но и они постоянно планово снижаются в уровне компенсаций, что заставляет рынок стагнировать и снижает его инвестиционную привлекательность.</w:t>
      </w:r>
    </w:p>
    <w:p w:rsidR="0097659D" w:rsidRDefault="0097659D" w:rsidP="00CC2024">
      <w:r w:rsidRPr="00EE03DF">
        <w:t xml:space="preserve">Кроме того, </w:t>
      </w:r>
      <w:r w:rsidR="00CC2024">
        <w:t xml:space="preserve">наиболее </w:t>
      </w:r>
      <w:r w:rsidRPr="00EE03DF">
        <w:t xml:space="preserve">выгодные контракты получают станции, удовлетворяющие требованиям регулятора к «базовому поставщику», - работе </w:t>
      </w:r>
      <w:r w:rsidR="00F40C15" w:rsidRPr="00EE03DF">
        <w:t xml:space="preserve">по 16 часов три последовательных дня (запас автономного хода в сумме – 48 часов). Наша технология позволяет выполнить это требование, при этом в сравнении, к примеру, с </w:t>
      </w:r>
      <w:r w:rsidR="00F40C15" w:rsidRPr="00EE03DF">
        <w:rPr>
          <w:lang w:val="en-US"/>
        </w:rPr>
        <w:t>LiPo</w:t>
      </w:r>
      <w:r w:rsidR="00F40C15" w:rsidRPr="00EE03DF">
        <w:t xml:space="preserve"> аккумуляторами показывает дополнительные затраты на уровне $200/KWh против  $1800/KWh</w:t>
      </w:r>
      <w:r w:rsidR="00EE03DF">
        <w:t>.</w:t>
      </w:r>
    </w:p>
    <w:p w:rsidR="006F266F" w:rsidRDefault="00732C38" w:rsidP="00732C38">
      <w:bookmarkStart w:id="3" w:name="OLE_LINK20"/>
      <w:r>
        <w:t>При наличии технических предпосылок использовать нашу технологию, операторы могут использовать только уже выпускающуюся аппаратуру (</w:t>
      </w:r>
      <w:r>
        <w:rPr>
          <w:lang w:val="en-US"/>
        </w:rPr>
        <w:t>commercially</w:t>
      </w:r>
      <w:r w:rsidRPr="00732C38">
        <w:t xml:space="preserve"> </w:t>
      </w:r>
      <w:r>
        <w:rPr>
          <w:lang w:val="en-US"/>
        </w:rPr>
        <w:t>approved</w:t>
      </w:r>
      <w:r w:rsidRPr="00732C38">
        <w:t xml:space="preserve">), </w:t>
      </w:r>
      <w:r>
        <w:t>а производители аппаратуры при отсутствии финансово подтверждённого спроса на неё не стремятся её разрабатывать. Необходимо показать натурный образец и выполнить формальное требование, - запустить станцию, которая продаёт электроэнергию клиентам, и на ней продемонстрировать достоинства технологии:</w:t>
      </w:r>
    </w:p>
    <w:p w:rsidR="00732C38" w:rsidRDefault="00732C38" w:rsidP="00732C38">
      <w:pPr>
        <w:pStyle w:val="ListParagraph"/>
        <w:numPr>
          <w:ilvl w:val="0"/>
          <w:numId w:val="4"/>
        </w:numPr>
      </w:pPr>
      <w:r>
        <w:t>Маневровость,</w:t>
      </w:r>
    </w:p>
    <w:p w:rsidR="00732C38" w:rsidRPr="00732C38" w:rsidRDefault="00732C38" w:rsidP="00732C38">
      <w:pPr>
        <w:pStyle w:val="ListParagraph"/>
        <w:numPr>
          <w:ilvl w:val="0"/>
          <w:numId w:val="4"/>
        </w:numPr>
      </w:pPr>
      <w:r>
        <w:t>Запас хода.</w:t>
      </w:r>
    </w:p>
    <w:bookmarkEnd w:id="3"/>
    <w:p w:rsidR="000F6BFB" w:rsidRPr="00EE03DF" w:rsidRDefault="000F6BFB" w:rsidP="00CC2024">
      <w:pPr>
        <w:pStyle w:val="ListParagraph"/>
      </w:pPr>
    </w:p>
    <w:p w:rsidR="007673D5" w:rsidRPr="00EE03DF" w:rsidRDefault="007673D5" w:rsidP="00CC2024">
      <w:pPr>
        <w:pStyle w:val="ListParagraph"/>
        <w:numPr>
          <w:ilvl w:val="1"/>
          <w:numId w:val="1"/>
        </w:numPr>
      </w:pPr>
      <w:r w:rsidRPr="00EE03DF">
        <w:t>Сущность предполагаемого проекта и место реализации.</w:t>
      </w:r>
    </w:p>
    <w:p w:rsidR="00732C38" w:rsidRDefault="000F6BFB" w:rsidP="00CC2024">
      <w:bookmarkStart w:id="4" w:name="OLE_LINK22"/>
      <w:r w:rsidRPr="00EE03DF">
        <w:t>Необходимо реализовать присутствие на рынке, включая рабочую и маркетинговую документацию, демонстрационный образец, провести маркетинговую работу с потенциальными клиентами (их немного). Для демонстрационного образца первоначально выбран</w:t>
      </w:r>
      <w:r w:rsidR="00732C38">
        <w:t>ы два потенциальных места установки:</w:t>
      </w:r>
    </w:p>
    <w:p w:rsidR="00732C38" w:rsidRDefault="00732C38" w:rsidP="00CC2024">
      <w:pPr>
        <w:pStyle w:val="ListParagraph"/>
        <w:numPr>
          <w:ilvl w:val="0"/>
          <w:numId w:val="5"/>
        </w:numPr>
      </w:pPr>
      <w:r>
        <w:t>Коммуна «И</w:t>
      </w:r>
      <w:r w:rsidR="000F6BFB" w:rsidRPr="00EE03DF">
        <w:t>нститут Исалена</w:t>
      </w:r>
      <w:r>
        <w:t>», очень популярная</w:t>
      </w:r>
      <w:r w:rsidR="000F6BFB" w:rsidRPr="00EE03DF">
        <w:t xml:space="preserve"> среди политиков и финансовой элиты США, с интересом относящийся к вопросам экологии и экономики.</w:t>
      </w:r>
    </w:p>
    <w:p w:rsidR="00732C38" w:rsidRPr="00EE03DF" w:rsidRDefault="00732C38" w:rsidP="00CC2024">
      <w:pPr>
        <w:pStyle w:val="ListParagraph"/>
        <w:numPr>
          <w:ilvl w:val="0"/>
          <w:numId w:val="5"/>
        </w:numPr>
      </w:pPr>
      <w:r>
        <w:lastRenderedPageBreak/>
        <w:t>Энергодефицитный город Сан-Франциско, экологическая комиссия которого активно изучает возможности возобновляемой энергетики.</w:t>
      </w:r>
    </w:p>
    <w:p w:rsidR="006F266F" w:rsidRPr="00EE03DF" w:rsidRDefault="00732C38" w:rsidP="00732C38">
      <w:r>
        <w:t>Оба потенциальных места достаточно гористы для достижения достаточного перепада высот, популярны и имеют лоббистские возможности для облегчения пользования участком.</w:t>
      </w:r>
    </w:p>
    <w:bookmarkEnd w:id="4"/>
    <w:p w:rsidR="007673D5" w:rsidRPr="00EE03DF" w:rsidRDefault="007673D5" w:rsidP="008D56EA">
      <w:pPr>
        <w:pStyle w:val="11List"/>
      </w:pPr>
      <w:r w:rsidRPr="00EE03DF">
        <w:t>Эффективность реализации проекта.</w:t>
      </w:r>
    </w:p>
    <w:p w:rsidR="000F6BFB" w:rsidRPr="00EE03DF" w:rsidRDefault="000F6BFB" w:rsidP="00732C38">
      <w:bookmarkStart w:id="5" w:name="OLE_LINK12"/>
      <w:r w:rsidRPr="00EE03DF">
        <w:t xml:space="preserve">Первоначальные инвестиции </w:t>
      </w:r>
      <w:r w:rsidR="00075292">
        <w:t>8 0</w:t>
      </w:r>
      <w:r w:rsidRPr="00EE03DF">
        <w:t>00</w:t>
      </w:r>
      <w:r w:rsidR="00936E6A" w:rsidRPr="00EE03DF">
        <w:t> </w:t>
      </w:r>
      <w:r w:rsidRPr="00EE03DF">
        <w:t>000</w:t>
      </w:r>
      <w:r w:rsidR="00936E6A" w:rsidRPr="00EE03DF">
        <w:t>$</w:t>
      </w:r>
      <w:r w:rsidRPr="00EE03DF">
        <w:t xml:space="preserve"> приведут к запуску </w:t>
      </w:r>
      <w:r w:rsidR="000E7B09" w:rsidRPr="00EE03DF">
        <w:t xml:space="preserve">через 3 года </w:t>
      </w:r>
      <w:r w:rsidRPr="00EE03DF">
        <w:t xml:space="preserve">экономической деятельности, </w:t>
      </w:r>
      <w:r w:rsidR="000E7B09" w:rsidRPr="00EE03DF">
        <w:t xml:space="preserve">приносящей доход </w:t>
      </w:r>
      <w:r w:rsidR="008D56EA">
        <w:t>6</w:t>
      </w:r>
      <w:r w:rsidR="000E7B09" w:rsidRPr="00EE03DF">
        <w:t>0 000</w:t>
      </w:r>
      <w:r w:rsidR="00936E6A" w:rsidRPr="00EE03DF">
        <w:t> </w:t>
      </w:r>
      <w:r w:rsidR="000E7B09" w:rsidRPr="00EE03DF">
        <w:t>000</w:t>
      </w:r>
      <w:r w:rsidR="00936E6A" w:rsidRPr="00EE03DF">
        <w:t>$</w:t>
      </w:r>
      <w:r w:rsidR="000E7B09" w:rsidRPr="00EE03DF">
        <w:t xml:space="preserve"> в год </w:t>
      </w:r>
      <w:r w:rsidR="00174625">
        <w:t xml:space="preserve">(300 </w:t>
      </w:r>
      <w:r w:rsidR="00174625">
        <w:rPr>
          <w:lang w:val="en-US"/>
        </w:rPr>
        <w:t>MW</w:t>
      </w:r>
      <w:r w:rsidR="00174625" w:rsidRPr="00174625">
        <w:t xml:space="preserve"> </w:t>
      </w:r>
      <w:r w:rsidR="00174625" w:rsidRPr="003B5710">
        <w:t xml:space="preserve">в год) </w:t>
      </w:r>
      <w:r w:rsidR="000E7B09" w:rsidRPr="003B5710">
        <w:t xml:space="preserve">с прибыльностью более </w:t>
      </w:r>
      <w:r w:rsidR="003B5710">
        <w:t>30</w:t>
      </w:r>
      <w:r w:rsidR="000E7B09" w:rsidRPr="003B5710">
        <w:t> 000</w:t>
      </w:r>
      <w:r w:rsidR="00936E6A" w:rsidRPr="003B5710">
        <w:t> </w:t>
      </w:r>
      <w:r w:rsidR="000E7B09" w:rsidRPr="003B5710">
        <w:t>000</w:t>
      </w:r>
      <w:r w:rsidR="00936E6A" w:rsidRPr="003B5710">
        <w:t>$</w:t>
      </w:r>
      <w:r w:rsidR="000E7B09" w:rsidRPr="00EE03DF">
        <w:t xml:space="preserve"> в год, с перспективой роста ещё в </w:t>
      </w:r>
      <w:r w:rsidR="00174625">
        <w:t>7</w:t>
      </w:r>
      <w:r w:rsidR="000E7B09" w:rsidRPr="00EE03DF">
        <w:t>-</w:t>
      </w:r>
      <w:r w:rsidR="00174625">
        <w:t>17</w:t>
      </w:r>
      <w:r w:rsidR="008D56EA">
        <w:t xml:space="preserve"> раз</w:t>
      </w:r>
      <w:r w:rsidR="00174625">
        <w:t xml:space="preserve"> (до 2-5</w:t>
      </w:r>
      <w:r w:rsidR="00174625">
        <w:rPr>
          <w:lang w:val="en-US"/>
        </w:rPr>
        <w:t>GW</w:t>
      </w:r>
      <w:r w:rsidR="00174625" w:rsidRPr="00174625">
        <w:t xml:space="preserve"> </w:t>
      </w:r>
      <w:r w:rsidR="00174625">
        <w:t xml:space="preserve">в год) </w:t>
      </w:r>
      <w:r w:rsidR="000E7B09" w:rsidRPr="00EE03DF">
        <w:t>в следующие 5-6 лет.</w:t>
      </w:r>
    </w:p>
    <w:bookmarkEnd w:id="5"/>
    <w:p w:rsidR="006F266F" w:rsidRPr="00EE03DF" w:rsidRDefault="006F266F" w:rsidP="00CC2024">
      <w:pPr>
        <w:pStyle w:val="ListParagraph"/>
      </w:pPr>
    </w:p>
    <w:p w:rsidR="007673D5" w:rsidRPr="007309B3" w:rsidRDefault="007673D5" w:rsidP="008D56EA">
      <w:pPr>
        <w:pStyle w:val="11List"/>
      </w:pPr>
      <w:r w:rsidRPr="007309B3">
        <w:t>Общая стоимость проекта.</w:t>
      </w:r>
    </w:p>
    <w:p w:rsidR="000E7B09" w:rsidRPr="007309B3" w:rsidRDefault="00EF1F5F" w:rsidP="008D56EA">
      <w:pPr>
        <w:rPr>
          <w:lang w:val="en-US"/>
        </w:rPr>
      </w:pPr>
      <w:bookmarkStart w:id="6" w:name="OLE_LINK2"/>
      <w:bookmarkStart w:id="7" w:name="OLE_LINK3"/>
      <w:bookmarkStart w:id="8" w:name="OLE_LINK4"/>
      <w:r>
        <w:t>8</w:t>
      </w:r>
      <w:r w:rsidR="000E7B09" w:rsidRPr="007309B3">
        <w:t> </w:t>
      </w:r>
      <w:r w:rsidR="00990B14">
        <w:t>0</w:t>
      </w:r>
      <w:r w:rsidR="000E7B09" w:rsidRPr="007309B3">
        <w:t>00</w:t>
      </w:r>
      <w:r w:rsidR="00BF0222" w:rsidRPr="007309B3">
        <w:t> </w:t>
      </w:r>
      <w:r w:rsidR="000E7B09" w:rsidRPr="007309B3">
        <w:t>000</w:t>
      </w:r>
      <w:r w:rsidR="00BF0222" w:rsidRPr="007309B3">
        <w:rPr>
          <w:lang w:val="en-US"/>
        </w:rPr>
        <w:t>$</w:t>
      </w:r>
    </w:p>
    <w:bookmarkEnd w:id="6"/>
    <w:bookmarkEnd w:id="7"/>
    <w:bookmarkEnd w:id="8"/>
    <w:p w:rsidR="007673D5" w:rsidRPr="007309B3" w:rsidRDefault="007673D5" w:rsidP="008D56EA">
      <w:pPr>
        <w:pStyle w:val="11List"/>
      </w:pPr>
      <w:r w:rsidRPr="007309B3">
        <w:t>Необходимые (привлекаемые) финансовые ресурсы.</w:t>
      </w:r>
    </w:p>
    <w:p w:rsidR="000E7B09" w:rsidRPr="007309B3" w:rsidRDefault="00EF1F5F" w:rsidP="008D56EA">
      <w:pPr>
        <w:rPr>
          <w:lang w:val="en-US"/>
        </w:rPr>
      </w:pPr>
      <w:r>
        <w:t>8</w:t>
      </w:r>
      <w:r w:rsidR="000E7B09" w:rsidRPr="007309B3">
        <w:t> </w:t>
      </w:r>
      <w:r w:rsidR="00990B14">
        <w:t>0</w:t>
      </w:r>
      <w:r w:rsidR="000E7B09" w:rsidRPr="007309B3">
        <w:t>00</w:t>
      </w:r>
      <w:r w:rsidR="00BF0222" w:rsidRPr="007309B3">
        <w:t> </w:t>
      </w:r>
      <w:r w:rsidR="000E7B09" w:rsidRPr="007309B3">
        <w:t>000</w:t>
      </w:r>
      <w:r w:rsidR="00BF0222" w:rsidRPr="007309B3">
        <w:rPr>
          <w:lang w:val="en-US"/>
        </w:rPr>
        <w:t>$</w:t>
      </w:r>
    </w:p>
    <w:p w:rsidR="007673D5" w:rsidRPr="007309B3" w:rsidRDefault="007673D5" w:rsidP="008D56EA">
      <w:pPr>
        <w:pStyle w:val="11List"/>
      </w:pPr>
      <w:r w:rsidRPr="007309B3">
        <w:t>Срок окупаемости проекта</w:t>
      </w:r>
      <w:r w:rsidR="001B2323">
        <w:t xml:space="preserve"> </w:t>
      </w:r>
      <w:r w:rsidR="001B2323">
        <w:rPr>
          <w:lang w:val="en-US"/>
        </w:rPr>
        <w:t>PBP</w:t>
      </w:r>
      <w:r w:rsidRPr="007309B3">
        <w:t>.</w:t>
      </w:r>
    </w:p>
    <w:p w:rsidR="000E7B09" w:rsidRPr="007309B3" w:rsidRDefault="001B2323" w:rsidP="008D56EA">
      <w:r>
        <w:rPr>
          <w:lang w:val="en-US"/>
        </w:rPr>
        <w:t>30</w:t>
      </w:r>
      <w:r w:rsidR="00EF4CC1" w:rsidRPr="007309B3">
        <w:rPr>
          <w:lang w:val="en-US"/>
        </w:rPr>
        <w:t xml:space="preserve"> </w:t>
      </w:r>
      <w:r w:rsidR="00EF4CC1" w:rsidRPr="007309B3">
        <w:t>месяц</w:t>
      </w:r>
      <w:r w:rsidR="00075292">
        <w:t>ев</w:t>
      </w:r>
    </w:p>
    <w:p w:rsidR="007673D5" w:rsidRPr="007309B3" w:rsidRDefault="007673D5" w:rsidP="008D56EA">
      <w:pPr>
        <w:pStyle w:val="11List"/>
      </w:pPr>
      <w:r w:rsidRPr="007309B3">
        <w:t>Финансовые результаты реализации плана:</w:t>
      </w:r>
    </w:p>
    <w:p w:rsidR="00AE4152" w:rsidRPr="007309B3" w:rsidRDefault="00AE4152" w:rsidP="008D56EA">
      <w:pPr>
        <w:pStyle w:val="111List"/>
      </w:pPr>
      <w:r w:rsidRPr="007309B3">
        <w:t>Чистая</w:t>
      </w:r>
      <w:r w:rsidR="00075292">
        <w:t xml:space="preserve"> приведённая</w:t>
      </w:r>
      <w:r w:rsidRPr="007309B3">
        <w:t xml:space="preserve"> стоимость</w:t>
      </w:r>
      <w:r w:rsidR="00075292">
        <w:t xml:space="preserve"> </w:t>
      </w:r>
      <w:r w:rsidR="00075292">
        <w:rPr>
          <w:lang w:val="en-US"/>
        </w:rPr>
        <w:t>NPV</w:t>
      </w:r>
      <w:r w:rsidRPr="007309B3">
        <w:t>.</w:t>
      </w:r>
    </w:p>
    <w:p w:rsidR="00EF4CC1" w:rsidRPr="007309B3" w:rsidRDefault="001B2323" w:rsidP="008D56EA">
      <w:pPr>
        <w:rPr>
          <w:lang w:val="en-US"/>
        </w:rPr>
      </w:pPr>
      <w:r>
        <w:rPr>
          <w:lang w:val="en-US"/>
        </w:rPr>
        <w:t>$85 540 878</w:t>
      </w:r>
    </w:p>
    <w:p w:rsidR="00AE4152" w:rsidRPr="007309B3" w:rsidRDefault="00AE4152" w:rsidP="008D56EA">
      <w:pPr>
        <w:pStyle w:val="111List"/>
      </w:pPr>
      <w:r w:rsidRPr="007309B3">
        <w:t>Внутренняя норма рентабельности</w:t>
      </w:r>
      <w:r w:rsidR="00075292">
        <w:t xml:space="preserve"> </w:t>
      </w:r>
      <w:r w:rsidR="00075292">
        <w:rPr>
          <w:lang w:val="en-US"/>
        </w:rPr>
        <w:t>IRR</w:t>
      </w:r>
      <w:r w:rsidRPr="007309B3">
        <w:t>.</w:t>
      </w:r>
    </w:p>
    <w:p w:rsidR="00EF4CC1" w:rsidRPr="007309B3" w:rsidRDefault="00075292" w:rsidP="008D56EA">
      <w:r>
        <w:t>1</w:t>
      </w:r>
      <w:r w:rsidR="001B2323">
        <w:t>96</w:t>
      </w:r>
      <w:r w:rsidR="00EF4CC1" w:rsidRPr="007309B3">
        <w:t>%</w:t>
      </w:r>
    </w:p>
    <w:p w:rsidR="00AE4152" w:rsidRPr="007309B3" w:rsidRDefault="00AE4152" w:rsidP="008D56EA">
      <w:pPr>
        <w:pStyle w:val="111List"/>
      </w:pPr>
      <w:r w:rsidRPr="007309B3">
        <w:t>Ежегодные суммы налоговых поступлений в бюджет</w:t>
      </w:r>
      <w:r w:rsidR="00EF4CC1" w:rsidRPr="007309B3">
        <w:t>ы</w:t>
      </w:r>
      <w:r w:rsidRPr="007309B3">
        <w:t xml:space="preserve"> </w:t>
      </w:r>
      <w:r w:rsidR="00EF4CC1" w:rsidRPr="007309B3">
        <w:t>разного уровня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3118"/>
      </w:tblGrid>
      <w:tr w:rsidR="0067144B" w:rsidTr="001B2323">
        <w:tc>
          <w:tcPr>
            <w:tcW w:w="2518" w:type="dxa"/>
          </w:tcPr>
          <w:p w:rsidR="0067144B" w:rsidRPr="00C318E4" w:rsidRDefault="0067144B" w:rsidP="0067144B">
            <w:r w:rsidRPr="00C318E4">
              <w:t>20</w:t>
            </w:r>
            <w:r>
              <w:t>20</w:t>
            </w:r>
            <w:r w:rsidRPr="00C318E4">
              <w:t xml:space="preserve"> год </w:t>
            </w:r>
          </w:p>
        </w:tc>
        <w:tc>
          <w:tcPr>
            <w:tcW w:w="3118" w:type="dxa"/>
          </w:tcPr>
          <w:p w:rsidR="0067144B" w:rsidRPr="006340E2" w:rsidRDefault="0067144B" w:rsidP="001B2323">
            <w:pPr>
              <w:jc w:val="right"/>
            </w:pPr>
            <w:r w:rsidRPr="006340E2">
              <w:t>$155 027.12</w:t>
            </w:r>
          </w:p>
        </w:tc>
      </w:tr>
      <w:tr w:rsidR="0067144B" w:rsidTr="001B2323">
        <w:tc>
          <w:tcPr>
            <w:tcW w:w="2518" w:type="dxa"/>
          </w:tcPr>
          <w:p w:rsidR="0067144B" w:rsidRPr="00C318E4" w:rsidRDefault="0067144B" w:rsidP="0067144B">
            <w:r>
              <w:t>2021</w:t>
            </w:r>
            <w:r w:rsidRPr="00C318E4">
              <w:t xml:space="preserve"> год </w:t>
            </w:r>
          </w:p>
        </w:tc>
        <w:tc>
          <w:tcPr>
            <w:tcW w:w="3118" w:type="dxa"/>
          </w:tcPr>
          <w:p w:rsidR="0067144B" w:rsidRPr="006340E2" w:rsidRDefault="0067144B" w:rsidP="001B2323">
            <w:pPr>
              <w:jc w:val="right"/>
            </w:pPr>
            <w:r w:rsidRPr="006340E2">
              <w:t>$790 546.27</w:t>
            </w:r>
          </w:p>
        </w:tc>
      </w:tr>
      <w:tr w:rsidR="0067144B" w:rsidTr="001B2323">
        <w:tc>
          <w:tcPr>
            <w:tcW w:w="2518" w:type="dxa"/>
          </w:tcPr>
          <w:p w:rsidR="0067144B" w:rsidRPr="00C318E4" w:rsidRDefault="0067144B" w:rsidP="0067144B">
            <w:r>
              <w:t>2022</w:t>
            </w:r>
            <w:r w:rsidRPr="00C318E4">
              <w:t xml:space="preserve"> год </w:t>
            </w:r>
          </w:p>
        </w:tc>
        <w:tc>
          <w:tcPr>
            <w:tcW w:w="3118" w:type="dxa"/>
          </w:tcPr>
          <w:p w:rsidR="0067144B" w:rsidRPr="006340E2" w:rsidRDefault="0067144B" w:rsidP="001B2323">
            <w:pPr>
              <w:jc w:val="right"/>
            </w:pPr>
            <w:r w:rsidRPr="006340E2">
              <w:t>$9 055 541.52</w:t>
            </w:r>
          </w:p>
        </w:tc>
      </w:tr>
      <w:tr w:rsidR="0067144B" w:rsidTr="001B2323">
        <w:tc>
          <w:tcPr>
            <w:tcW w:w="2518" w:type="dxa"/>
          </w:tcPr>
          <w:p w:rsidR="0067144B" w:rsidRPr="00C318E4" w:rsidRDefault="0067144B" w:rsidP="0067144B">
            <w:r>
              <w:t>2023</w:t>
            </w:r>
            <w:r w:rsidRPr="00C318E4">
              <w:t xml:space="preserve"> год </w:t>
            </w:r>
          </w:p>
        </w:tc>
        <w:tc>
          <w:tcPr>
            <w:tcW w:w="3118" w:type="dxa"/>
          </w:tcPr>
          <w:p w:rsidR="0067144B" w:rsidRPr="006340E2" w:rsidRDefault="0067144B" w:rsidP="001B2323">
            <w:pPr>
              <w:jc w:val="right"/>
            </w:pPr>
            <w:r w:rsidRPr="006340E2">
              <w:t>$16 027 363.04</w:t>
            </w:r>
          </w:p>
        </w:tc>
      </w:tr>
      <w:tr w:rsidR="0067144B" w:rsidTr="001B2323">
        <w:tc>
          <w:tcPr>
            <w:tcW w:w="2518" w:type="dxa"/>
          </w:tcPr>
          <w:p w:rsidR="0067144B" w:rsidRPr="00C318E4" w:rsidRDefault="0067144B" w:rsidP="0067144B">
            <w:r>
              <w:t>2024</w:t>
            </w:r>
            <w:r w:rsidRPr="00C318E4">
              <w:t xml:space="preserve"> год</w:t>
            </w:r>
          </w:p>
        </w:tc>
        <w:tc>
          <w:tcPr>
            <w:tcW w:w="3118" w:type="dxa"/>
          </w:tcPr>
          <w:p w:rsidR="0067144B" w:rsidRPr="006340E2" w:rsidRDefault="0067144B" w:rsidP="001B2323">
            <w:pPr>
              <w:jc w:val="right"/>
            </w:pPr>
            <w:r w:rsidRPr="006340E2">
              <w:t>$26 391 627.62</w:t>
            </w:r>
          </w:p>
        </w:tc>
      </w:tr>
      <w:tr w:rsidR="0067144B" w:rsidTr="001B2323">
        <w:tc>
          <w:tcPr>
            <w:tcW w:w="2518" w:type="dxa"/>
          </w:tcPr>
          <w:p w:rsidR="0067144B" w:rsidRDefault="0067144B" w:rsidP="0067144B">
            <w:r>
              <w:t>2025</w:t>
            </w:r>
            <w:r w:rsidRPr="00C318E4">
              <w:t xml:space="preserve"> год</w:t>
            </w:r>
          </w:p>
        </w:tc>
        <w:tc>
          <w:tcPr>
            <w:tcW w:w="3118" w:type="dxa"/>
          </w:tcPr>
          <w:p w:rsidR="0067144B" w:rsidRPr="006340E2" w:rsidRDefault="0067144B" w:rsidP="001B2323">
            <w:pPr>
              <w:jc w:val="right"/>
            </w:pPr>
            <w:r w:rsidRPr="006340E2">
              <w:t>$26 560 844.47</w:t>
            </w:r>
          </w:p>
        </w:tc>
      </w:tr>
      <w:tr w:rsidR="0067144B" w:rsidTr="001B2323">
        <w:tc>
          <w:tcPr>
            <w:tcW w:w="2518" w:type="dxa"/>
          </w:tcPr>
          <w:p w:rsidR="0067144B" w:rsidRDefault="0067144B" w:rsidP="0067144B">
            <w:r>
              <w:t>202</w:t>
            </w:r>
            <w:r>
              <w:t>6</w:t>
            </w:r>
            <w:r w:rsidRPr="00C318E4">
              <w:t xml:space="preserve"> год</w:t>
            </w:r>
          </w:p>
        </w:tc>
        <w:tc>
          <w:tcPr>
            <w:tcW w:w="3118" w:type="dxa"/>
          </w:tcPr>
          <w:p w:rsidR="0067144B" w:rsidRDefault="0067144B" w:rsidP="001B2323">
            <w:pPr>
              <w:jc w:val="right"/>
            </w:pPr>
            <w:r w:rsidRPr="006340E2">
              <w:t>$41 972 961.25</w:t>
            </w:r>
          </w:p>
        </w:tc>
      </w:tr>
    </w:tbl>
    <w:p w:rsidR="006F266F" w:rsidRPr="00EE03DF" w:rsidRDefault="006F266F" w:rsidP="00CC2024">
      <w:pPr>
        <w:pStyle w:val="ListParagraph"/>
      </w:pPr>
    </w:p>
    <w:p w:rsidR="00AE4152" w:rsidRPr="00EE03DF" w:rsidRDefault="00AE4152" w:rsidP="00401B24">
      <w:pPr>
        <w:pStyle w:val="ListParagraph"/>
        <w:numPr>
          <w:ilvl w:val="1"/>
          <w:numId w:val="1"/>
        </w:numPr>
        <w:spacing w:line="480" w:lineRule="auto"/>
      </w:pPr>
      <w:r w:rsidRPr="00EE03DF">
        <w:t>Предполагаемая форма и условия участия инвестора (кредитора).</w:t>
      </w:r>
    </w:p>
    <w:p w:rsidR="0051767D" w:rsidRPr="00EE03DF" w:rsidRDefault="0051767D" w:rsidP="00401B24">
      <w:r w:rsidRPr="00EE03DF">
        <w:t>Вхождение в уставной капитал в размере 15% с последующим правом обратного выкупа по фиксированной цене (</w:t>
      </w:r>
      <w:r w:rsidR="00C96197">
        <w:t>договор РЕПО</w:t>
      </w:r>
      <w:r w:rsidRPr="00EE03DF">
        <w:t>).</w:t>
      </w:r>
    </w:p>
    <w:p w:rsidR="00AE4152" w:rsidRPr="00EE03DF" w:rsidRDefault="00AE4152" w:rsidP="00401B24">
      <w:pPr>
        <w:pStyle w:val="11List"/>
      </w:pPr>
      <w:r w:rsidRPr="00EE03DF">
        <w:lastRenderedPageBreak/>
        <w:t>Сопутствующие эффекты (социальные, экологические) от реализации проекта.</w:t>
      </w:r>
    </w:p>
    <w:p w:rsidR="00F710B7" w:rsidRPr="00EE03DF" w:rsidRDefault="00F710B7" w:rsidP="00401B24">
      <w:r w:rsidRPr="00EE03DF">
        <w:t>По условиям Киотского протокола электростанция такого типа вместе с потребителем имеет абсолютный ноль выбросов, а в месте установки самой станции отрицательное значение. Мы охлаждаем океан, но не заметим этого, - охлаждение порядка 0.003C.</w:t>
      </w:r>
    </w:p>
    <w:p w:rsidR="00F710B7" w:rsidRPr="00EE03DF" w:rsidRDefault="00F710B7" w:rsidP="00401B24">
      <w:r w:rsidRPr="00EE03DF">
        <w:t>В 2008-м году California Energy Commission и California Ocean Protection Council подготовили доклад, в котором привели анализ рисков промышленного использования океана. Основной вывод: необходимо выяснять и настаивать на управлении воздействием. Понимание от регуляторов – есть.</w:t>
      </w:r>
    </w:p>
    <w:p w:rsidR="00F710B7" w:rsidRPr="00EE03DF" w:rsidRDefault="00F710B7" w:rsidP="00401B24">
      <w:r w:rsidRPr="00EE03DF">
        <w:t>Под угрозой у станций с захватом воды из океана – живые организмы, размеры которых сравнимы с захватывающими отверстиями. Для поплавка диаметром 1м и степенью сжатия 1:3 это диаметр отверстия порядка 10-15см, - то есть мелкая рыба и планктон.</w:t>
      </w:r>
    </w:p>
    <w:p w:rsidR="00401B24" w:rsidRDefault="00F710B7" w:rsidP="00401B24">
      <w:r w:rsidRPr="00EE03DF">
        <w:t>Длина береговой линии США порядка двадцати тысяч километров</w:t>
      </w:r>
      <w:r w:rsidR="00401B24">
        <w:t xml:space="preserve">. </w:t>
      </w:r>
      <w:r w:rsidRPr="00EE03DF">
        <w:t xml:space="preserve">Мы планируем занимать </w:t>
      </w:r>
      <w:r w:rsidR="00401B24">
        <w:t>1</w:t>
      </w:r>
      <w:r w:rsidRPr="00EE03DF">
        <w:t xml:space="preserve"> </w:t>
      </w:r>
      <w:r w:rsidR="00401B24">
        <w:t>км берега на каждый</w:t>
      </w:r>
      <w:r w:rsidRPr="00EE03DF">
        <w:t xml:space="preserve"> </w:t>
      </w:r>
      <w:r w:rsidR="00401B24">
        <w:t>1</w:t>
      </w:r>
      <w:r w:rsidR="00401B24">
        <w:rPr>
          <w:lang w:val="en-US"/>
        </w:rPr>
        <w:t>GW</w:t>
      </w:r>
      <w:r w:rsidRPr="00EE03DF">
        <w:t>.</w:t>
      </w:r>
      <w:r w:rsidR="00401B24">
        <w:t xml:space="preserve"> </w:t>
      </w:r>
      <w:r w:rsidRPr="00EE03DF">
        <w:t xml:space="preserve">Мы планируем строить руками наших партнёров в оптимистичном прогнозе до 5000 МВт в год, это </w:t>
      </w:r>
      <w:r w:rsidR="00401B24">
        <w:t>5 километров</w:t>
      </w:r>
      <w:r w:rsidRPr="00EE03DF">
        <w:t xml:space="preserve"> в год.</w:t>
      </w:r>
      <w:r w:rsidR="00401B24">
        <w:t xml:space="preserve"> </w:t>
      </w:r>
    </w:p>
    <w:p w:rsidR="00F710B7" w:rsidRPr="00EE03DF" w:rsidRDefault="00F710B7" w:rsidP="00401B24">
      <w:r w:rsidRPr="00EE03DF">
        <w:t xml:space="preserve">Чтобы занять </w:t>
      </w:r>
      <w:r w:rsidR="00401B24">
        <w:t>0</w:t>
      </w:r>
      <w:r w:rsidRPr="00EE03DF">
        <w:t>.25% берега такими установками, нам придётся работать десять лет.</w:t>
      </w:r>
    </w:p>
    <w:p w:rsidR="00F710B7" w:rsidRPr="00EE03DF" w:rsidRDefault="00F710B7" w:rsidP="00401B24">
      <w:r w:rsidRPr="00EE03DF">
        <w:t>По более реалистичным планам уместнее говорить о 2000 МВт в год – это десять лет работы, чтобы занять 0.</w:t>
      </w:r>
      <w:r w:rsidR="00401B24">
        <w:t>02</w:t>
      </w:r>
      <w:r w:rsidRPr="00EE03DF">
        <w:t>% береговой линии</w:t>
      </w:r>
      <w:r w:rsidR="00401B24">
        <w:t>.</w:t>
      </w:r>
    </w:p>
    <w:p w:rsidR="00401B24" w:rsidRDefault="00F710B7" w:rsidP="00401B24">
      <w:r w:rsidRPr="00EE03DF">
        <w:t xml:space="preserve">Общее потребление США 1300ГВт. Даже если половину этой энергии вырабатывать нашими станциями, занято будет 650 км, чуть больше </w:t>
      </w:r>
      <w:r w:rsidR="00401B24">
        <w:t>2.5% ото всей</w:t>
      </w:r>
      <w:r w:rsidRPr="00EE03DF">
        <w:t xml:space="preserve"> береговой линии.</w:t>
      </w:r>
    </w:p>
    <w:p w:rsidR="00401B24" w:rsidRPr="00EE03DF" w:rsidRDefault="00401B24" w:rsidP="00401B24">
      <w:r w:rsidRPr="00EE03DF">
        <w:t>Слишком слабое влияние на океан, чтобы заметить какие-то изменения.</w:t>
      </w:r>
    </w:p>
    <w:p w:rsidR="00AE4152" w:rsidRPr="00EE03DF" w:rsidRDefault="0009538B" w:rsidP="00E83732">
      <w:pPr>
        <w:pStyle w:val="1List"/>
      </w:pPr>
      <w:r w:rsidRPr="00EE03DF">
        <w:t>Анализ положения дел в отрасли и описание компании-претендента.</w:t>
      </w:r>
    </w:p>
    <w:p w:rsidR="00E83732" w:rsidRDefault="00E83732">
      <w:pPr>
        <w:ind w:firstLine="0"/>
        <w:jc w:val="left"/>
      </w:pPr>
      <w:r>
        <w:br w:type="page"/>
      </w:r>
    </w:p>
    <w:p w:rsidR="00E83732" w:rsidRDefault="00E83732" w:rsidP="00E83732">
      <w:pPr>
        <w:pStyle w:val="ListParagraph"/>
        <w:numPr>
          <w:ilvl w:val="1"/>
          <w:numId w:val="1"/>
        </w:numPr>
        <w:spacing w:line="480" w:lineRule="auto"/>
        <w:sectPr w:rsidR="00E8373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9" w:name="OLE_LINK6"/>
    </w:p>
    <w:bookmarkEnd w:id="9"/>
    <w:p w:rsidR="0009538B" w:rsidRPr="00EE03DF" w:rsidRDefault="00E83732" w:rsidP="00E83732">
      <w:pPr>
        <w:pStyle w:val="11List"/>
        <w:spacing w:line="480" w:lineRule="auto"/>
      </w:pPr>
      <w:r>
        <w:lastRenderedPageBreak/>
        <w:t>Анализ современного со</w:t>
      </w:r>
      <w:r w:rsidR="0009538B" w:rsidRPr="00EE03DF">
        <w:t>стояния и перспектив развития отрасли.</w:t>
      </w: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4"/>
        <w:gridCol w:w="1418"/>
        <w:gridCol w:w="1340"/>
        <w:gridCol w:w="1353"/>
        <w:gridCol w:w="1520"/>
        <w:gridCol w:w="1708"/>
        <w:gridCol w:w="1584"/>
      </w:tblGrid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2758" w:type="dxa"/>
            <w:gridSpan w:val="2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Plant Characteristics</w:t>
            </w:r>
          </w:p>
        </w:tc>
        <w:tc>
          <w:tcPr>
            <w:tcW w:w="4581" w:type="dxa"/>
            <w:gridSpan w:val="3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Plant Costs (2012$)</w:t>
            </w:r>
          </w:p>
        </w:tc>
        <w:tc>
          <w:tcPr>
            <w:tcW w:w="1584" w:type="dxa"/>
            <w:vMerge w:val="restart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Energy market price ($/MWh)</w:t>
            </w:r>
          </w:p>
        </w:tc>
      </w:tr>
      <w:tr w:rsidR="001C3BD1" w:rsidRPr="00990B14" w:rsidTr="001C3BD1">
        <w:trPr>
          <w:trHeight w:val="693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Nominal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Capacity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(MW)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Heat Rate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(Btu/kWh)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Overnight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Capital Cost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($/kW)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US"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Fixed O&amp;M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Cost ($/kW-yr)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US"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Variable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O&amp;M Cost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br/>
              <w:t>($/MWh)</w:t>
            </w:r>
          </w:p>
        </w:tc>
        <w:tc>
          <w:tcPr>
            <w:tcW w:w="1584" w:type="dxa"/>
            <w:vMerge/>
            <w:vAlign w:val="center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val="en-US" w:eastAsia="ru-RU"/>
              </w:rPr>
            </w:pP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8"/>
                <w:lang w:val="en-US" w:eastAsia="ru-RU"/>
              </w:rPr>
              <w:t>Coal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Dual Unit Advanced PC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1 300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8 800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$2 934,00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$31,18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$4,47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$17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US"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Single Unit Advanced PC with CCS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650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12 000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$5 227,00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$80,53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$9,51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$17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8"/>
                <w:lang w:val="en-US" w:eastAsia="ru-RU"/>
              </w:rPr>
              <w:t>Natural Gas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                                 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1C3BD1" w:rsidRPr="001C3BD1" w:rsidTr="001C3BD1">
        <w:trPr>
          <w:trHeight w:val="76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US"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Advanced CC with CCS (Carbon capture and storage)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340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7 525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FF0000"/>
                <w:kern w:val="24"/>
                <w:sz w:val="24"/>
                <w:szCs w:val="28"/>
                <w:lang w:val="en-US" w:eastAsia="ru-RU"/>
              </w:rPr>
              <w:t>$7 000,00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$31,79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FF0000"/>
                <w:kern w:val="24"/>
                <w:sz w:val="24"/>
                <w:szCs w:val="28"/>
                <w:lang w:val="en-US" w:eastAsia="ru-RU"/>
              </w:rPr>
              <w:t>$6,78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$30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Advanced CT (Combustion Turbine)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210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9 750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$676,00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$7,04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$10,37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$30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b/>
                <w:bCs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>Uranium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                                 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 xml:space="preserve">Dual Unit Nuclear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2 234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$5 530,00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$93,28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$2,14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$9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b/>
                <w:bCs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>Wind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                                 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 xml:space="preserve">Onshore Wind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100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$2 213,00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$39,55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$4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 xml:space="preserve">Offshore Wind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400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$5 500,00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$74,00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$4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b/>
                <w:bCs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>Accumulators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                                 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 xml:space="preserve">Solar Thermal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100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$5 067,00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$67,26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$4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171717" w:themeColor="background2" w:themeShade="1A"/>
                <w:kern w:val="24"/>
                <w:sz w:val="24"/>
                <w:szCs w:val="28"/>
                <w:lang w:val="en-US" w:eastAsia="ru-RU"/>
              </w:rPr>
              <w:t xml:space="preserve">Photovoltaic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150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$3 873,00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$24,69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$4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8"/>
                <w:lang w:val="en-US" w:eastAsia="ru-RU"/>
              </w:rPr>
              <w:t>Hydroelectric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                                 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353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52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        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DF7D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Conventional Hydroelectric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500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$2 936,00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$14,13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$4</w:t>
            </w:r>
          </w:p>
        </w:tc>
      </w:tr>
      <w:tr w:rsidR="001C3BD1" w:rsidRPr="001C3BD1" w:rsidTr="001C3BD1">
        <w:trPr>
          <w:trHeight w:val="340"/>
        </w:trPr>
        <w:tc>
          <w:tcPr>
            <w:tcW w:w="582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Pumped Storage </w:t>
            </w:r>
          </w:p>
        </w:tc>
        <w:tc>
          <w:tcPr>
            <w:tcW w:w="141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250</w:t>
            </w:r>
          </w:p>
        </w:tc>
        <w:tc>
          <w:tcPr>
            <w:tcW w:w="1340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$5 288,00</w:t>
            </w:r>
          </w:p>
        </w:tc>
        <w:tc>
          <w:tcPr>
            <w:tcW w:w="1520" w:type="dxa"/>
            <w:shd w:val="clear" w:color="auto" w:fill="92D05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$18,00</w:t>
            </w:r>
          </w:p>
        </w:tc>
        <w:tc>
          <w:tcPr>
            <w:tcW w:w="1708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E8F3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340" w:lineRule="atLeast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>$4</w:t>
            </w:r>
          </w:p>
        </w:tc>
      </w:tr>
      <w:tr w:rsidR="001C3BD1" w:rsidRPr="001C3BD1" w:rsidTr="001C3BD1">
        <w:trPr>
          <w:trHeight w:val="351"/>
        </w:trPr>
        <w:tc>
          <w:tcPr>
            <w:tcW w:w="5824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left"/>
              <w:textAlignment w:val="bottom"/>
              <w:rPr>
                <w:rFonts w:ascii="Arial" w:eastAsia="Times New Roman" w:hAnsi="Arial" w:cs="Arial"/>
                <w:sz w:val="24"/>
                <w:szCs w:val="36"/>
                <w:lang w:val="en-US" w:eastAsia="ru-RU"/>
              </w:rPr>
            </w:pPr>
            <w:r w:rsidRPr="001C3BD1">
              <w:rPr>
                <w:rFonts w:eastAsiaTheme="minorEastAsia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PBH featured offshore wind farms </w:t>
            </w:r>
          </w:p>
        </w:tc>
        <w:tc>
          <w:tcPr>
            <w:tcW w:w="1418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500</w:t>
            </w:r>
          </w:p>
        </w:tc>
        <w:tc>
          <w:tcPr>
            <w:tcW w:w="1340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center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 xml:space="preserve">N/A </w:t>
            </w:r>
          </w:p>
        </w:tc>
        <w:tc>
          <w:tcPr>
            <w:tcW w:w="1353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eastAsia="ru-RU"/>
              </w:rPr>
              <w:t>6 500</w:t>
            </w: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,00</w:t>
            </w:r>
          </w:p>
        </w:tc>
        <w:tc>
          <w:tcPr>
            <w:tcW w:w="1520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$80,00</w:t>
            </w:r>
          </w:p>
        </w:tc>
        <w:tc>
          <w:tcPr>
            <w:tcW w:w="1708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 w:themeColor="dark1"/>
                <w:kern w:val="24"/>
                <w:sz w:val="24"/>
                <w:szCs w:val="28"/>
                <w:lang w:val="en-US" w:eastAsia="ru-RU"/>
              </w:rPr>
              <w:t>$0,00</w:t>
            </w:r>
          </w:p>
        </w:tc>
        <w:tc>
          <w:tcPr>
            <w:tcW w:w="1584" w:type="dxa"/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3BD1" w:rsidRPr="001C3BD1" w:rsidRDefault="001C3BD1" w:rsidP="001C3BD1">
            <w:pPr>
              <w:spacing w:after="0" w:line="240" w:lineRule="auto"/>
              <w:ind w:firstLine="0"/>
              <w:jc w:val="right"/>
              <w:textAlignment w:val="bottom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val="en-US" w:eastAsia="ru-RU"/>
              </w:rPr>
              <w:t>$</w:t>
            </w:r>
            <w:r w:rsidRPr="001C3BD1">
              <w:rPr>
                <w:rFonts w:eastAsia="Times New Roman"/>
                <w:color w:val="000000"/>
                <w:kern w:val="24"/>
                <w:sz w:val="24"/>
                <w:szCs w:val="28"/>
                <w:lang w:eastAsia="ru-RU"/>
              </w:rPr>
              <w:t>4</w:t>
            </w:r>
          </w:p>
        </w:tc>
      </w:tr>
    </w:tbl>
    <w:p w:rsidR="001C3BD1" w:rsidRDefault="001C3BD1" w:rsidP="001C3BD1">
      <w:pPr>
        <w:ind w:left="360" w:firstLine="0"/>
      </w:pPr>
    </w:p>
    <w:p w:rsidR="001C3BD1" w:rsidRDefault="001C3BD1" w:rsidP="00CC2024">
      <w:pPr>
        <w:pStyle w:val="ListParagraph"/>
        <w:numPr>
          <w:ilvl w:val="1"/>
          <w:numId w:val="1"/>
        </w:numPr>
        <w:sectPr w:rsidR="001C3BD1" w:rsidSect="00E837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38B" w:rsidRPr="00EE03DF" w:rsidRDefault="0009538B" w:rsidP="00CC2024">
      <w:pPr>
        <w:pStyle w:val="ListParagraph"/>
        <w:numPr>
          <w:ilvl w:val="1"/>
          <w:numId w:val="1"/>
        </w:numPr>
      </w:pPr>
      <w:r w:rsidRPr="00EE03DF">
        <w:lastRenderedPageBreak/>
        <w:t>Основные потребительские группы и их территориальное расположение.</w:t>
      </w:r>
    </w:p>
    <w:p w:rsidR="002C4104" w:rsidRPr="00EE03DF" w:rsidRDefault="002C4104" w:rsidP="00CC2024">
      <w:pPr>
        <w:pStyle w:val="ListParagraph"/>
      </w:pPr>
      <w:r w:rsidRPr="00EE03DF">
        <w:rPr>
          <w:noProof/>
          <w:lang w:val="en-US"/>
        </w:rPr>
        <w:drawing>
          <wp:inline distT="0" distB="0" distL="0" distR="0" wp14:anchorId="6CD9FB9B" wp14:editId="01966625">
            <wp:extent cx="5940425" cy="4159300"/>
            <wp:effectExtent l="0" t="0" r="3175" b="0"/>
            <wp:docPr id="3" name="Рисунок 3" descr="http://www.windpowerengineering.com/wp-content/uploads/2015/04/map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ndpowerengineering.com/wp-content/uploads/2015/04/map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B" w:rsidRPr="00EE03DF" w:rsidRDefault="0009538B" w:rsidP="00E40619">
      <w:pPr>
        <w:pStyle w:val="ListParagraph"/>
        <w:numPr>
          <w:ilvl w:val="1"/>
          <w:numId w:val="1"/>
        </w:numPr>
        <w:spacing w:line="480" w:lineRule="auto"/>
      </w:pPr>
      <w:r w:rsidRPr="00EE03DF">
        <w:t xml:space="preserve">Ожидаемая доля претендента в производстве отрасли. </w:t>
      </w:r>
    </w:p>
    <w:p w:rsidR="002C4104" w:rsidRPr="00EE03DF" w:rsidRDefault="004F440B" w:rsidP="00E40619">
      <w:r w:rsidRPr="00EE03DF">
        <w:t>Не менее 60</w:t>
      </w:r>
      <w:r w:rsidR="002C4104" w:rsidRPr="00EE03DF">
        <w:t>% всех океанских установок в течение 10-15 лет</w:t>
      </w:r>
    </w:p>
    <w:p w:rsidR="0009538B" w:rsidRPr="00EE03DF" w:rsidRDefault="0009538B" w:rsidP="00E40619">
      <w:pPr>
        <w:pStyle w:val="ListParagraph"/>
        <w:numPr>
          <w:ilvl w:val="1"/>
          <w:numId w:val="1"/>
        </w:numPr>
        <w:spacing w:line="480" w:lineRule="auto"/>
      </w:pPr>
      <w:r w:rsidRPr="00EE03DF">
        <w:t>Общая концепция предполагаемого бизнеса:</w:t>
      </w:r>
    </w:p>
    <w:p w:rsidR="0009538B" w:rsidRPr="00EE03DF" w:rsidRDefault="0009538B" w:rsidP="00E40619">
      <w:pPr>
        <w:pStyle w:val="111List"/>
      </w:pPr>
      <w:r w:rsidRPr="00EE03DF">
        <w:t>Цели функционирования;</w:t>
      </w:r>
    </w:p>
    <w:p w:rsidR="002C4104" w:rsidRPr="00EE03DF" w:rsidRDefault="002C4104" w:rsidP="00E40619">
      <w:r w:rsidRPr="00EE03DF">
        <w:t>Превращение инжиниринговой стартап-компании в участника рынка, наработка маркетинговых материалов, включая демо-стенд, проведение маркетинговой активности, заключение договоров</w:t>
      </w:r>
      <w:r w:rsidR="00036207" w:rsidRPr="00EE03DF">
        <w:t>, продажа лицензий</w:t>
      </w:r>
      <w:r w:rsidRPr="00EE03DF">
        <w:t>.</w:t>
      </w:r>
    </w:p>
    <w:p w:rsidR="0009538B" w:rsidRPr="00EE03DF" w:rsidRDefault="0009538B" w:rsidP="00E40619">
      <w:pPr>
        <w:pStyle w:val="ListParagraph"/>
        <w:numPr>
          <w:ilvl w:val="2"/>
          <w:numId w:val="1"/>
        </w:numPr>
        <w:spacing w:line="480" w:lineRule="auto"/>
      </w:pPr>
      <w:r w:rsidRPr="00EE03DF">
        <w:t>Выпускаемая продукция (работы, услуги);</w:t>
      </w:r>
    </w:p>
    <w:p w:rsidR="002C4104" w:rsidRPr="00EE03DF" w:rsidRDefault="002C4104" w:rsidP="00E40619">
      <w:r w:rsidRPr="00EE03DF">
        <w:t xml:space="preserve">Лицензии на технологию </w:t>
      </w:r>
      <w:r w:rsidR="00F64636" w:rsidRPr="00EE03DF">
        <w:t>усовершенствованных ветровых электрогенераторов для их производства и эксплуатации.</w:t>
      </w:r>
    </w:p>
    <w:p w:rsidR="0009538B" w:rsidRPr="00EE03DF" w:rsidRDefault="0009538B" w:rsidP="00E40619">
      <w:pPr>
        <w:pStyle w:val="11List"/>
      </w:pPr>
      <w:r w:rsidRPr="00EE03DF">
        <w:t>Основные потребители.</w:t>
      </w:r>
    </w:p>
    <w:p w:rsidR="00036207" w:rsidRPr="00EE03DF" w:rsidRDefault="00036207" w:rsidP="00E40619">
      <w:pPr>
        <w:pStyle w:val="ListParagraph"/>
        <w:numPr>
          <w:ilvl w:val="0"/>
          <w:numId w:val="6"/>
        </w:numPr>
      </w:pPr>
      <w:r w:rsidRPr="00EE03DF">
        <w:t>О</w:t>
      </w:r>
      <w:r w:rsidR="00F64636" w:rsidRPr="00EE03DF">
        <w:t xml:space="preserve">ператоры </w:t>
      </w:r>
      <w:r w:rsidRPr="00EE03DF">
        <w:t>энергосетей и электростанций</w:t>
      </w:r>
      <w:r w:rsidR="00E40619">
        <w:t xml:space="preserve"> путём покупки и эксплуатации продукции, произведённой по лицензии</w:t>
      </w:r>
      <w:r w:rsidRPr="00EE03DF">
        <w:t>.</w:t>
      </w:r>
    </w:p>
    <w:p w:rsidR="00F64636" w:rsidRPr="00EE03DF" w:rsidRDefault="00036207" w:rsidP="00E40619">
      <w:pPr>
        <w:pStyle w:val="ListParagraph"/>
        <w:numPr>
          <w:ilvl w:val="0"/>
          <w:numId w:val="6"/>
        </w:numPr>
      </w:pPr>
      <w:r w:rsidRPr="00EE03DF">
        <w:t>Производители оборудования</w:t>
      </w:r>
      <w:r w:rsidR="00F64636" w:rsidRPr="00EE03DF">
        <w:t>.</w:t>
      </w:r>
    </w:p>
    <w:p w:rsidR="0009538B" w:rsidRPr="00EE03DF" w:rsidRDefault="0009538B" w:rsidP="00E40619">
      <w:pPr>
        <w:pStyle w:val="11List"/>
      </w:pPr>
      <w:r w:rsidRPr="00EE03DF">
        <w:lastRenderedPageBreak/>
        <w:t>Уч</w:t>
      </w:r>
      <w:r w:rsidR="00E40619">
        <w:t>астники</w:t>
      </w:r>
      <w:r w:rsidRPr="00EE03DF">
        <w:t xml:space="preserve"> </w:t>
      </w:r>
      <w:r w:rsidR="00A773EE" w:rsidRPr="00EE03DF">
        <w:t>компании</w:t>
      </w:r>
      <w:r w:rsidRPr="00EE03DF">
        <w:t>-претендента.</w:t>
      </w:r>
    </w:p>
    <w:p w:rsidR="00E40619" w:rsidRDefault="00F64636" w:rsidP="00CC2024">
      <w:pPr>
        <w:pStyle w:val="ListParagraph"/>
      </w:pPr>
      <w:r w:rsidRPr="00EE03DF">
        <w:t xml:space="preserve">9% </w:t>
      </w:r>
      <w:r w:rsidRPr="00EE03DF">
        <w:rPr>
          <w:lang w:val="en-US"/>
        </w:rPr>
        <w:t>Anatoliy</w:t>
      </w:r>
      <w:r w:rsidRPr="00EE03DF">
        <w:t xml:space="preserve"> </w:t>
      </w:r>
      <w:r w:rsidRPr="00EE03DF">
        <w:rPr>
          <w:lang w:val="en-US"/>
        </w:rPr>
        <w:t>Lisovskiy</w:t>
      </w:r>
      <w:r w:rsidR="007E09B9">
        <w:t xml:space="preserve"> (США)</w:t>
      </w:r>
      <w:r w:rsidRPr="00EE03DF">
        <w:t>,</w:t>
      </w:r>
    </w:p>
    <w:p w:rsidR="00E40619" w:rsidRDefault="00F64636" w:rsidP="00CC2024">
      <w:pPr>
        <w:pStyle w:val="ListParagraph"/>
      </w:pPr>
      <w:r w:rsidRPr="00EE03DF">
        <w:t xml:space="preserve">76% у </w:t>
      </w:r>
      <w:r w:rsidRPr="00EE03DF">
        <w:rPr>
          <w:lang w:val="en-US"/>
        </w:rPr>
        <w:t>Andrew</w:t>
      </w:r>
      <w:r w:rsidRPr="00EE03DF">
        <w:t xml:space="preserve"> </w:t>
      </w:r>
      <w:r w:rsidRPr="00EE03DF">
        <w:rPr>
          <w:lang w:val="en-US"/>
        </w:rPr>
        <w:t>Bogorodsky</w:t>
      </w:r>
      <w:r w:rsidRPr="00EE03DF">
        <w:t xml:space="preserve"> (Россия),</w:t>
      </w:r>
    </w:p>
    <w:p w:rsidR="00F64636" w:rsidRPr="00EE03DF" w:rsidRDefault="00F64636" w:rsidP="00CC2024">
      <w:pPr>
        <w:pStyle w:val="ListParagraph"/>
      </w:pPr>
      <w:r w:rsidRPr="00EE03DF">
        <w:t xml:space="preserve">15% </w:t>
      </w:r>
      <w:r w:rsidR="00E40619">
        <w:t>ИНВЕСТОР</w:t>
      </w:r>
      <w:r w:rsidRPr="00EE03DF">
        <w:t>.</w:t>
      </w:r>
    </w:p>
    <w:p w:rsidR="00A773EE" w:rsidRPr="00EE03DF" w:rsidRDefault="00A773EE" w:rsidP="00E40619">
      <w:pPr>
        <w:pStyle w:val="1List"/>
      </w:pPr>
      <w:r w:rsidRPr="00EE03DF">
        <w:t>Описание продукции (работ, услуг)</w:t>
      </w:r>
      <w:r w:rsidR="009B6FF4" w:rsidRPr="00EE03DF">
        <w:t>.</w:t>
      </w:r>
    </w:p>
    <w:p w:rsidR="009B6FF4" w:rsidRPr="00EE03DF" w:rsidRDefault="009B6FF4" w:rsidP="00E40619">
      <w:pPr>
        <w:pStyle w:val="11List"/>
      </w:pPr>
      <w:r w:rsidRPr="00EE03DF">
        <w:t>Основные характеристики продукции (работ, услуг):</w:t>
      </w:r>
    </w:p>
    <w:p w:rsidR="009B6FF4" w:rsidRPr="00EE03DF" w:rsidRDefault="009B6FF4" w:rsidP="00E40619">
      <w:pPr>
        <w:pStyle w:val="111List"/>
      </w:pPr>
      <w:r w:rsidRPr="00EE03DF">
        <w:t>Функциональное назначение;</w:t>
      </w:r>
    </w:p>
    <w:p w:rsidR="00F64636" w:rsidRPr="00EE03DF" w:rsidRDefault="00F64636" w:rsidP="00302AA1">
      <w:bookmarkStart w:id="10" w:name="OLE_LINK5"/>
      <w:r w:rsidRPr="00EE03DF">
        <w:t>Лицензия на использование конечным потребителем;</w:t>
      </w:r>
    </w:p>
    <w:bookmarkEnd w:id="10"/>
    <w:p w:rsidR="00F64636" w:rsidRPr="00EE03DF" w:rsidRDefault="00F64636" w:rsidP="00302AA1">
      <w:r w:rsidRPr="00EE03DF">
        <w:t>Лицензия дилерская для последующего лицензирования конечным потребителям.</w:t>
      </w:r>
    </w:p>
    <w:p w:rsidR="009B6FF4" w:rsidRPr="00EE03DF" w:rsidRDefault="009B6FF4" w:rsidP="00302AA1">
      <w:pPr>
        <w:pStyle w:val="111List"/>
      </w:pPr>
      <w:r w:rsidRPr="00EE03DF">
        <w:t>Патентно-лицензионная защита;</w:t>
      </w:r>
    </w:p>
    <w:p w:rsidR="00F64636" w:rsidRPr="00EE03DF" w:rsidRDefault="00F64636" w:rsidP="00CC2024">
      <w:pPr>
        <w:pStyle w:val="ListParagraph"/>
      </w:pPr>
      <w:bookmarkStart w:id="11" w:name="OLE_LINK8"/>
      <w:r w:rsidRPr="00EE03DF">
        <w:t>US Pat 9657708</w:t>
      </w:r>
    </w:p>
    <w:bookmarkEnd w:id="11"/>
    <w:p w:rsidR="009B6FF4" w:rsidRPr="00EE03DF" w:rsidRDefault="009B6FF4" w:rsidP="00302AA1">
      <w:pPr>
        <w:pStyle w:val="1List"/>
      </w:pPr>
      <w:r w:rsidRPr="00EE03DF">
        <w:t xml:space="preserve">Маркетинг и сбыт продукции. </w:t>
      </w:r>
    </w:p>
    <w:p w:rsidR="0060517A" w:rsidRPr="00EE03DF" w:rsidRDefault="0060517A" w:rsidP="00302AA1">
      <w:pPr>
        <w:pStyle w:val="11List"/>
      </w:pPr>
      <w:r w:rsidRPr="00EE03DF">
        <w:t>Обоснование рыночной ниши продукции (работ, услуг) и среднесрочная концепция ее расширения:</w:t>
      </w:r>
    </w:p>
    <w:p w:rsidR="0060517A" w:rsidRPr="00EE03DF" w:rsidRDefault="0060517A" w:rsidP="00302AA1">
      <w:pPr>
        <w:pStyle w:val="111List"/>
      </w:pPr>
      <w:r w:rsidRPr="00EE03DF">
        <w:t>Х</w:t>
      </w:r>
      <w:r w:rsidRPr="00302AA1">
        <w:rPr>
          <w:rStyle w:val="111ListChar"/>
        </w:rPr>
        <w:t>а</w:t>
      </w:r>
      <w:r w:rsidRPr="00EE03DF">
        <w:t>рактеристика целевых рынков и поведения потребителей;</w:t>
      </w:r>
    </w:p>
    <w:p w:rsidR="00F710B7" w:rsidRPr="00EE03DF" w:rsidRDefault="00F710B7" w:rsidP="00302AA1">
      <w:r w:rsidRPr="00EE03DF">
        <w:t>Потребители и их проекты характеризуются высокой инерционностью и активным использованием отложенных платежей по договорам будущих поставок.</w:t>
      </w:r>
    </w:p>
    <w:p w:rsidR="00F710B7" w:rsidRPr="00EE03DF" w:rsidRDefault="00F710B7" w:rsidP="00302AA1">
      <w:r w:rsidRPr="00EE03DF">
        <w:t>В цепочке продаж лицензии через вендора аппаратуры, скорее всего, платежи будут отложены до отгрузки аппаратуры покупателю, что составляет 1-3 года от заключения контракта на поставку этой аппаратуры. В случае прямого лицензирования оператору, договор может быть заключён за 3-5 лет до собственно поставки и соответствующей оплаты. При нашем отказе от работы по этой схеме, наши станции не будут строить, поэтому указанная схема будет применяться в заметном большинстве случаев.</w:t>
      </w:r>
    </w:p>
    <w:p w:rsidR="0060517A" w:rsidRPr="00EE03DF" w:rsidRDefault="0060517A" w:rsidP="00302AA1">
      <w:pPr>
        <w:pStyle w:val="111List"/>
      </w:pPr>
      <w:r w:rsidRPr="00EE03DF">
        <w:t>Прогнозы продаж;</w:t>
      </w:r>
    </w:p>
    <w:p w:rsidR="00F710B7" w:rsidRPr="00EE03DF" w:rsidRDefault="00F710B7" w:rsidP="00302AA1">
      <w:bookmarkStart w:id="12" w:name="OLE_LINK23"/>
      <w:r w:rsidRPr="00EE03DF">
        <w:t>В последние годы океанских проектов заявляется по 0.5-2 ГВт в год, если взять консервативную оценку 1ГВт в год и нашу долю на этом рынке на начальном этапе 50%, то это порядка 500 МВт в год. При цене $200 за 1</w:t>
      </w:r>
      <w:r w:rsidRPr="00EE03DF">
        <w:rPr>
          <w:lang w:val="en-US"/>
        </w:rPr>
        <w:t>KW</w:t>
      </w:r>
      <w:r w:rsidRPr="00EE03DF">
        <w:t xml:space="preserve"> (жёсткая цена), начисления в наш адрес составят порядка 10 000 000 в год</w:t>
      </w:r>
      <w:bookmarkEnd w:id="12"/>
      <w:r w:rsidRPr="00EE03DF">
        <w:t xml:space="preserve">, но более половины из них будут так или иначе отложены на год-два. </w:t>
      </w:r>
    </w:p>
    <w:p w:rsidR="0060517A" w:rsidRPr="00EE03DF" w:rsidRDefault="0060517A" w:rsidP="00302AA1">
      <w:pPr>
        <w:pStyle w:val="111List"/>
      </w:pPr>
      <w:r w:rsidRPr="00EE03DF">
        <w:t>Трудности выхода (расширения) на целевые рынки;</w:t>
      </w:r>
    </w:p>
    <w:p w:rsidR="00F710B7" w:rsidRPr="00EE03DF" w:rsidRDefault="00F710B7" w:rsidP="00302AA1">
      <w:r w:rsidRPr="00EE03DF">
        <w:t xml:space="preserve">Регуляторная база отдаёт предпочтение, а зачастую жёстко требует, чтобы используемая аппаратура была </w:t>
      </w:r>
      <w:r w:rsidRPr="00EE03DF">
        <w:rPr>
          <w:lang w:val="en-US"/>
        </w:rPr>
        <w:t>commercially</w:t>
      </w:r>
      <w:r w:rsidRPr="00EE03DF">
        <w:t xml:space="preserve"> </w:t>
      </w:r>
      <w:r w:rsidRPr="00EE03DF">
        <w:rPr>
          <w:lang w:val="en-US"/>
        </w:rPr>
        <w:t>approved</w:t>
      </w:r>
      <w:r w:rsidRPr="00EE03DF">
        <w:t xml:space="preserve">, а для того, </w:t>
      </w:r>
      <w:r w:rsidRPr="00EE03DF">
        <w:lastRenderedPageBreak/>
        <w:t xml:space="preserve">чтобы заставить компании типа </w:t>
      </w:r>
      <w:r w:rsidRPr="00EE03DF">
        <w:rPr>
          <w:lang w:val="en-US"/>
        </w:rPr>
        <w:t>Siemens</w:t>
      </w:r>
      <w:r w:rsidRPr="00EE03DF">
        <w:t>/</w:t>
      </w:r>
      <w:r w:rsidRPr="00EE03DF">
        <w:rPr>
          <w:lang w:val="en-US"/>
        </w:rPr>
        <w:t>GE</w:t>
      </w:r>
      <w:r w:rsidRPr="00EE03DF">
        <w:t xml:space="preserve"> </w:t>
      </w:r>
      <w:r w:rsidR="006920DD" w:rsidRPr="00EE03DF">
        <w:t xml:space="preserve">серьёзно задуматься о нашей технологии и выпустить свои доработанные модели, необходимо значимое воздействие на них со стороны потребителя. Демонстрационный образец и пиар с участием представителей власти заставят говорить о нашей технологии. Без демонстрационного образца, близкого по внешнему виду и характеристикам к промышленным установкам, такой разговор сворачивает на сценарий «станьте как </w:t>
      </w:r>
      <w:r w:rsidR="006920DD" w:rsidRPr="00EE03DF">
        <w:rPr>
          <w:lang w:val="en-US"/>
        </w:rPr>
        <w:t>Siemens</w:t>
      </w:r>
      <w:r w:rsidR="006920DD" w:rsidRPr="00EE03DF">
        <w:t>/</w:t>
      </w:r>
      <w:r w:rsidR="006920DD" w:rsidRPr="00EE03DF">
        <w:rPr>
          <w:lang w:val="en-US"/>
        </w:rPr>
        <w:t>GE</w:t>
      </w:r>
      <w:r w:rsidR="006920DD" w:rsidRPr="00EE03DF">
        <w:t>». Ключевое к открытию рынка – доказуемая и наглядная демонстрация реальности заявляемых свойств продукта и прозрачности используемой технологии.</w:t>
      </w:r>
    </w:p>
    <w:p w:rsidR="0060517A" w:rsidRPr="00EE03DF" w:rsidRDefault="0060517A" w:rsidP="00302AA1">
      <w:pPr>
        <w:pStyle w:val="111List"/>
      </w:pPr>
      <w:r w:rsidRPr="00EE03DF">
        <w:t>Наиболее эффективные механизмы продвижения продукции (работ, услуг) на целевые рынки.</w:t>
      </w:r>
    </w:p>
    <w:p w:rsidR="006920DD" w:rsidRPr="00EE03DF" w:rsidRDefault="006920DD" w:rsidP="00BE285C">
      <w:r w:rsidRPr="00EE03DF">
        <w:t>Поставить демо-образец близкий к промышленному по материалам/механизмам/свойствам, в публичном месте с высокой долей лиц, принимающих решение. У нас рядом с офисом – институт Исалена и город Сан-Франциско, имеющие прямую заинтересованность в нашей технологии, готовые быть активными промоутерами её.</w:t>
      </w:r>
    </w:p>
    <w:p w:rsidR="0060517A" w:rsidRPr="00EE03DF" w:rsidRDefault="0060517A" w:rsidP="00BE285C">
      <w:pPr>
        <w:pStyle w:val="11List"/>
      </w:pPr>
      <w:r w:rsidRPr="00EE03DF">
        <w:t>Характеристика ценообразования претендента:</w:t>
      </w:r>
    </w:p>
    <w:p w:rsidR="0060517A" w:rsidRPr="00EE03DF" w:rsidRDefault="0060517A" w:rsidP="00BE285C">
      <w:pPr>
        <w:pStyle w:val="111List"/>
      </w:pPr>
      <w:r w:rsidRPr="00EE03DF">
        <w:t>Обоснование цены на продукцию с учетом требований к качеству и анализа формирования себестоимости;</w:t>
      </w:r>
    </w:p>
    <w:p w:rsidR="00B62501" w:rsidRPr="00EE03DF" w:rsidRDefault="00B62501" w:rsidP="00BE285C">
      <w:r w:rsidRPr="00EE03DF">
        <w:t>Мы действуем в поле неурегулированного понятия «справедливая цена», поэтому ценообразование внешнее. При стоимости ориентира «станция с доработками» порядка $7500/</w:t>
      </w:r>
      <w:r w:rsidRPr="00EE03DF">
        <w:rPr>
          <w:lang w:val="en-US"/>
        </w:rPr>
        <w:t>KW</w:t>
      </w:r>
      <w:r w:rsidRPr="00EE03DF">
        <w:t>, назначена цена $200/</w:t>
      </w:r>
      <w:r w:rsidRPr="00EE03DF">
        <w:rPr>
          <w:lang w:val="en-US"/>
        </w:rPr>
        <w:t>KW</w:t>
      </w:r>
      <w:r w:rsidRPr="00EE03DF">
        <w:t>, что составляет 2.6%, - ниже принятого диапазона «5-10% от ключевой стоимости» с дисконтом так как технология только выходит на рынок и с перспективой последующего подъёма цены после того, как технология станет объективно безальтернативной.</w:t>
      </w:r>
    </w:p>
    <w:p w:rsidR="0060517A" w:rsidRPr="00EE03DF" w:rsidRDefault="0060517A" w:rsidP="00BE285C">
      <w:pPr>
        <w:pStyle w:val="111List"/>
      </w:pPr>
      <w:r w:rsidRPr="00EE03DF">
        <w:t>Политика предоставления скидок.</w:t>
      </w:r>
    </w:p>
    <w:p w:rsidR="00B62501" w:rsidRPr="00EE03DF" w:rsidRDefault="00B62501" w:rsidP="00BE285C">
      <w:r w:rsidRPr="00EE03DF">
        <w:t>Исключительно разовые и очень жёстко оформляемые, так каждый прецедент падения цены – повод требовать её по суду в будущем.</w:t>
      </w:r>
    </w:p>
    <w:p w:rsidR="0060517A" w:rsidRPr="00EE03DF" w:rsidRDefault="0060517A" w:rsidP="00BE285C">
      <w:pPr>
        <w:pStyle w:val="11List"/>
      </w:pPr>
      <w:r w:rsidRPr="00EE03DF">
        <w:t>Тактика реализации продукции (работ, услуг).</w:t>
      </w:r>
    </w:p>
    <w:p w:rsidR="0060517A" w:rsidRPr="00EE03DF" w:rsidRDefault="0060517A" w:rsidP="00BE285C">
      <w:pPr>
        <w:pStyle w:val="111List"/>
      </w:pPr>
      <w:r w:rsidRPr="00EE03DF">
        <w:t>Анализ методов реализации (прямая поставка, торговые представители, посредники) и их эффективность;</w:t>
      </w:r>
    </w:p>
    <w:p w:rsidR="00B62501" w:rsidRPr="00EE03DF" w:rsidRDefault="00B62501" w:rsidP="00BE285C">
      <w:pPr>
        <w:pStyle w:val="ListParagraph"/>
        <w:numPr>
          <w:ilvl w:val="0"/>
          <w:numId w:val="7"/>
        </w:numPr>
      </w:pPr>
      <w:r w:rsidRPr="00EE03DF">
        <w:t>Прямая поставка будущему оператору станции</w:t>
      </w:r>
      <w:r w:rsidR="00DD4540" w:rsidRPr="00EE03DF">
        <w:t>.</w:t>
      </w:r>
    </w:p>
    <w:p w:rsidR="00B62501" w:rsidRPr="00EE03DF" w:rsidRDefault="00DD4540" w:rsidP="00BE285C">
      <w:pPr>
        <w:pStyle w:val="ListParagraph"/>
        <w:numPr>
          <w:ilvl w:val="0"/>
          <w:numId w:val="7"/>
        </w:numPr>
      </w:pPr>
      <w:r w:rsidRPr="00EE03DF">
        <w:t>Р</w:t>
      </w:r>
      <w:r w:rsidR="00B62501" w:rsidRPr="00EE03DF">
        <w:t>еселлерская схема через производителей оборудования для электростанций. Ускоряет получение денег, расширяет клиентскую базу, узнаваемость технологии.</w:t>
      </w:r>
    </w:p>
    <w:p w:rsidR="00DD4540" w:rsidRPr="00EE03DF" w:rsidRDefault="00DD4540" w:rsidP="00CC2024">
      <w:pPr>
        <w:pStyle w:val="ListParagraph"/>
      </w:pPr>
    </w:p>
    <w:p w:rsidR="00DD4540" w:rsidRPr="00EE03DF" w:rsidRDefault="00DD4540" w:rsidP="00CC2024">
      <w:pPr>
        <w:pStyle w:val="ListParagraph"/>
      </w:pPr>
    </w:p>
    <w:p w:rsidR="00DD4540" w:rsidRPr="00EE03DF" w:rsidRDefault="00DD4540" w:rsidP="00CC2024">
      <w:pPr>
        <w:pStyle w:val="ListParagraph"/>
      </w:pPr>
    </w:p>
    <w:p w:rsidR="0060517A" w:rsidRPr="00EE03DF" w:rsidRDefault="0060517A" w:rsidP="00BE285C">
      <w:pPr>
        <w:pStyle w:val="111List"/>
      </w:pPr>
      <w:r w:rsidRPr="00EE03DF">
        <w:t>Выбор приоритетных каналов сбыта в долгосрочной перспективе;</w:t>
      </w:r>
    </w:p>
    <w:p w:rsidR="00B62501" w:rsidRPr="00EE03DF" w:rsidRDefault="00DD4540" w:rsidP="00BE285C">
      <w:r w:rsidRPr="00EE03DF">
        <w:t>Реселлерская схема через производителей оборудования для электростанций. Ускоряет получение денег, расширяет клиентскую базу, узнаваемость технологии.</w:t>
      </w:r>
    </w:p>
    <w:p w:rsidR="0060517A" w:rsidRPr="00EE03DF" w:rsidRDefault="0060517A" w:rsidP="00BE285C">
      <w:pPr>
        <w:pStyle w:val="111List"/>
      </w:pPr>
      <w:r w:rsidRPr="00EE03DF">
        <w:t>Наличие договоров и протоколов намерений на поставку.</w:t>
      </w:r>
    </w:p>
    <w:p w:rsidR="00B62501" w:rsidRPr="00EE03DF" w:rsidRDefault="00DD4540" w:rsidP="00BE285C">
      <w:r w:rsidRPr="00EE03DF">
        <w:t>Находятся в стадии проработки.</w:t>
      </w:r>
    </w:p>
    <w:p w:rsidR="008B708B" w:rsidRPr="00EE03DF" w:rsidRDefault="008B708B" w:rsidP="00BE285C">
      <w:pPr>
        <w:pStyle w:val="1List"/>
      </w:pPr>
      <w:r w:rsidRPr="00EE03DF">
        <w:t xml:space="preserve">Производственный план (до 5 стр.). </w:t>
      </w:r>
    </w:p>
    <w:p w:rsidR="008B708B" w:rsidRPr="00EE03DF" w:rsidRDefault="008B708B" w:rsidP="00BE285C">
      <w:pPr>
        <w:pStyle w:val="11List"/>
      </w:pPr>
      <w:r w:rsidRPr="00EE03DF">
        <w:t>Место реализации проекта.</w:t>
      </w:r>
    </w:p>
    <w:p w:rsidR="003A7742" w:rsidRPr="00EE03DF" w:rsidRDefault="003A7742" w:rsidP="00BE285C">
      <w:r w:rsidRPr="00EE03DF">
        <w:t>Институт Исалена, - популярное у крупного бизнеса и политиков место для обсуждения вопросов философии, экологии, развития общества. Отличное место для демонстрации перерождения зелёной энергетики в индустриальную отрасль и перспективы воздействия этого процесса на общественную жизнь. Имеет свою землю, прямые выходы на власти.</w:t>
      </w:r>
    </w:p>
    <w:p w:rsidR="003A7742" w:rsidRPr="00EE03DF" w:rsidRDefault="003A7742" w:rsidP="00BE285C">
      <w:r w:rsidRPr="00EE03DF">
        <w:t>Город Сан-Франциско, - имеет потребность как в электричестве, так и в пресной воде (наша технология также очень эффективна для опреснения обратным осмосом без перехода в электричество). Экологическая комиссия штата Калифорния и муниципалитет города Сан-Франциско готовы рассматривать и регулярно рассматривают перспективные проекты.</w:t>
      </w:r>
    </w:p>
    <w:p w:rsidR="00094233" w:rsidRPr="00EE03DF" w:rsidRDefault="008B708B" w:rsidP="00BE285C">
      <w:pPr>
        <w:pStyle w:val="11List"/>
      </w:pPr>
      <w:r w:rsidRPr="00EE03DF">
        <w:t xml:space="preserve">Особенности </w:t>
      </w:r>
      <w:r w:rsidR="00094233" w:rsidRPr="00EE03DF">
        <w:t>места реализации проекта и строительной площадки:</w:t>
      </w:r>
    </w:p>
    <w:p w:rsidR="00094233" w:rsidRPr="00EE03DF" w:rsidRDefault="00094233" w:rsidP="00BE285C">
      <w:pPr>
        <w:pStyle w:val="111List"/>
      </w:pPr>
      <w:r w:rsidRPr="00EE03DF">
        <w:t>К</w:t>
      </w:r>
      <w:r w:rsidR="008B708B" w:rsidRPr="00EE03DF">
        <w:t>лимат;</w:t>
      </w:r>
    </w:p>
    <w:p w:rsidR="003A7742" w:rsidRPr="00EE03DF" w:rsidRDefault="003A7742" w:rsidP="00BE285C">
      <w:r w:rsidRPr="00EE03DF">
        <w:t xml:space="preserve">Незамерзающий океан, </w:t>
      </w:r>
      <w:r w:rsidR="00DD4540" w:rsidRPr="00EE03DF">
        <w:t>прибрежная зона</w:t>
      </w:r>
      <w:r w:rsidRPr="00EE03DF">
        <w:t>.</w:t>
      </w:r>
    </w:p>
    <w:p w:rsidR="00094233" w:rsidRPr="00EE03DF" w:rsidRDefault="00094233" w:rsidP="00BE285C">
      <w:pPr>
        <w:pStyle w:val="111List"/>
      </w:pPr>
      <w:r w:rsidRPr="00EE03DF">
        <w:t>О</w:t>
      </w:r>
      <w:r w:rsidR="008B708B" w:rsidRPr="00EE03DF">
        <w:t>беспеченность транспортной, инженерной, социальной инфраструктурой;</w:t>
      </w:r>
    </w:p>
    <w:p w:rsidR="003A7742" w:rsidRPr="00EE03DF" w:rsidRDefault="00DD4540" w:rsidP="00BE285C">
      <w:r w:rsidRPr="00EE03DF">
        <w:t>Высокая</w:t>
      </w:r>
      <w:r w:rsidR="003A7742" w:rsidRPr="00EE03DF">
        <w:t>.</w:t>
      </w:r>
    </w:p>
    <w:p w:rsidR="00094233" w:rsidRPr="00EE03DF" w:rsidRDefault="00094233" w:rsidP="00BE285C">
      <w:pPr>
        <w:pStyle w:val="111List"/>
      </w:pPr>
      <w:r w:rsidRPr="00EE03DF">
        <w:t>Н</w:t>
      </w:r>
      <w:r w:rsidR="008B708B" w:rsidRPr="00EE03DF">
        <w:t>аличие строительно-монтажных и вспомогательных ремонтных организаций;</w:t>
      </w:r>
    </w:p>
    <w:p w:rsidR="003A7742" w:rsidRPr="00EE03DF" w:rsidRDefault="003A7742" w:rsidP="00BE285C">
      <w:r w:rsidRPr="00EE03DF">
        <w:t>Развитая отрасль</w:t>
      </w:r>
      <w:r w:rsidR="00DD4540" w:rsidRPr="00EE03DF">
        <w:t>, достаточное количество для реализации проекта</w:t>
      </w:r>
      <w:r w:rsidRPr="00EE03DF">
        <w:t>.</w:t>
      </w:r>
    </w:p>
    <w:p w:rsidR="00BE285C" w:rsidRDefault="00BE285C">
      <w:pPr>
        <w:ind w:firstLine="0"/>
        <w:jc w:val="left"/>
      </w:pPr>
      <w:r>
        <w:br w:type="page"/>
      </w:r>
    </w:p>
    <w:p w:rsidR="00D80BFB" w:rsidRDefault="00D80BFB" w:rsidP="00BE285C">
      <w:pPr>
        <w:pStyle w:val="11List"/>
        <w:sectPr w:rsidR="00D80BFB" w:rsidSect="001C3B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4540" w:rsidRPr="00EE03DF" w:rsidRDefault="007A0E95" w:rsidP="00BE285C">
      <w:pPr>
        <w:pStyle w:val="11List"/>
      </w:pPr>
      <w:r>
        <w:lastRenderedPageBreak/>
        <w:t>Планирование и с</w:t>
      </w:r>
      <w:r w:rsidR="00094233" w:rsidRPr="00EE03DF">
        <w:t>метная стоимость работ по проекту</w:t>
      </w:r>
      <w:r w:rsidR="00DD4540" w:rsidRPr="00EE03DF">
        <w:t>.</w:t>
      </w:r>
    </w:p>
    <w:p w:rsidR="003A7742" w:rsidRPr="00EE03DF" w:rsidRDefault="003A7742" w:rsidP="00CC2024">
      <w:pPr>
        <w:pStyle w:val="ListParagraph"/>
      </w:pPr>
    </w:p>
    <w:p w:rsidR="003A7742" w:rsidRDefault="001B2323" w:rsidP="001B2323">
      <w:pPr>
        <w:pStyle w:val="ListParagraph"/>
        <w:ind w:left="0" w:firstLine="0"/>
      </w:pPr>
      <w:r>
        <w:rPr>
          <w:noProof/>
          <w:lang w:val="en-US"/>
        </w:rPr>
        <w:drawing>
          <wp:inline distT="0" distB="0" distL="0" distR="0">
            <wp:extent cx="9239250" cy="210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51" w:rsidRDefault="00B57351" w:rsidP="001B2323">
      <w:pPr>
        <w:pStyle w:val="ListParagraph"/>
        <w:ind w:left="0" w:firstLine="0"/>
      </w:pPr>
    </w:p>
    <w:p w:rsidR="00B57351" w:rsidRDefault="00B57351" w:rsidP="001B2323">
      <w:pPr>
        <w:pStyle w:val="ListParagraph"/>
        <w:ind w:left="0" w:firstLine="0"/>
      </w:pPr>
    </w:p>
    <w:p w:rsidR="00B57351" w:rsidRDefault="00B57351">
      <w:pPr>
        <w:ind w:firstLine="0"/>
        <w:jc w:val="left"/>
      </w:pPr>
      <w:r>
        <w:br w:type="page"/>
      </w:r>
    </w:p>
    <w:p w:rsidR="00094233" w:rsidRPr="00EE03DF" w:rsidRDefault="00094233" w:rsidP="00CC2024">
      <w:pPr>
        <w:pStyle w:val="ListParagraph"/>
        <w:numPr>
          <w:ilvl w:val="1"/>
          <w:numId w:val="1"/>
        </w:numPr>
      </w:pPr>
      <w:r w:rsidRPr="00EE03DF">
        <w:lastRenderedPageBreak/>
        <w:t>Производственная программа претендента в номенклатурном разрезе.</w:t>
      </w:r>
    </w:p>
    <w:p w:rsidR="003A7742" w:rsidRPr="00EE03DF" w:rsidRDefault="002515F3" w:rsidP="00CC2024">
      <w:r>
        <w:rPr>
          <w:noProof/>
          <w:lang w:val="en-US"/>
        </w:rPr>
        <w:drawing>
          <wp:inline distT="0" distB="0" distL="0" distR="0">
            <wp:extent cx="8952865" cy="232854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6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F3" w:rsidRDefault="002515F3">
      <w:pPr>
        <w:ind w:firstLine="0"/>
        <w:jc w:val="left"/>
      </w:pPr>
      <w:r>
        <w:br w:type="page"/>
      </w:r>
    </w:p>
    <w:p w:rsidR="002515F3" w:rsidRDefault="002515F3" w:rsidP="00CC2024">
      <w:pPr>
        <w:pStyle w:val="ListParagraph"/>
        <w:numPr>
          <w:ilvl w:val="1"/>
          <w:numId w:val="1"/>
        </w:numPr>
        <w:sectPr w:rsidR="002515F3" w:rsidSect="002515F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03C44" w:rsidRPr="00EE03DF" w:rsidRDefault="00045209" w:rsidP="0044273E">
      <w:pPr>
        <w:pStyle w:val="11List"/>
      </w:pPr>
      <w:r w:rsidRPr="00EE03DF">
        <w:lastRenderedPageBreak/>
        <w:t>Оценка обеспеченности производственных потребностей квалифицированным персоналом</w:t>
      </w:r>
      <w:r w:rsidR="00B03C44" w:rsidRPr="00EE03DF">
        <w:t>:</w:t>
      </w:r>
    </w:p>
    <w:p w:rsidR="00B03C44" w:rsidRPr="00EE03DF" w:rsidRDefault="00B03C44" w:rsidP="0044273E">
      <w:pPr>
        <w:pStyle w:val="111List"/>
      </w:pPr>
      <w:r w:rsidRPr="00EE03DF">
        <w:t>Общая численность персонала;</w:t>
      </w:r>
    </w:p>
    <w:p w:rsidR="003A7742" w:rsidRPr="00EE03DF" w:rsidRDefault="00B57351" w:rsidP="0044273E">
      <w:pPr>
        <w:pStyle w:val="ListParagraph"/>
        <w:numPr>
          <w:ilvl w:val="0"/>
          <w:numId w:val="8"/>
        </w:numPr>
      </w:pPr>
      <w:r>
        <w:t>2</w:t>
      </w:r>
      <w:r w:rsidR="003A7742" w:rsidRPr="00EE03DF">
        <w:t xml:space="preserve"> человека ключевых: </w:t>
      </w:r>
      <w:r w:rsidR="002B7C69" w:rsidRPr="00EE03DF">
        <w:t xml:space="preserve">А. </w:t>
      </w:r>
      <w:r w:rsidR="003A7742" w:rsidRPr="00EE03DF">
        <w:t xml:space="preserve">Богородский и два консультанта: А. Лисовский (исполнительный) </w:t>
      </w:r>
    </w:p>
    <w:p w:rsidR="003A7742" w:rsidRDefault="0044273E" w:rsidP="0044273E">
      <w:pPr>
        <w:pStyle w:val="ListParagraph"/>
        <w:numPr>
          <w:ilvl w:val="0"/>
          <w:numId w:val="8"/>
        </w:numPr>
      </w:pPr>
      <w:r>
        <w:t>2</w:t>
      </w:r>
      <w:r w:rsidR="00ED2B34" w:rsidRPr="00EE03DF">
        <w:t xml:space="preserve"> нанятых местных </w:t>
      </w:r>
      <w:r w:rsidR="00ED2B34" w:rsidRPr="00EE03DF">
        <w:rPr>
          <w:lang w:val="en-US"/>
        </w:rPr>
        <w:t>B</w:t>
      </w:r>
      <w:r w:rsidR="00ED2B34" w:rsidRPr="00EE03DF">
        <w:t>2</w:t>
      </w:r>
      <w:r w:rsidR="00ED2B34" w:rsidRPr="00EE03DF">
        <w:rPr>
          <w:lang w:val="en-US"/>
        </w:rPr>
        <w:t>B</w:t>
      </w:r>
      <w:r w:rsidR="00ED2B34" w:rsidRPr="00EE03DF">
        <w:t>-</w:t>
      </w:r>
      <w:r w:rsidR="002B7C69" w:rsidRPr="00EE03DF">
        <w:t>продавца</w:t>
      </w:r>
      <w:r>
        <w:t xml:space="preserve"> с расширением штата</w:t>
      </w:r>
      <w:r w:rsidR="00ED2B34" w:rsidRPr="00EE03DF">
        <w:t>;</w:t>
      </w:r>
    </w:p>
    <w:p w:rsidR="0044273E" w:rsidRPr="00EE03DF" w:rsidRDefault="0044273E" w:rsidP="0044273E">
      <w:pPr>
        <w:pStyle w:val="ListParagraph"/>
        <w:numPr>
          <w:ilvl w:val="0"/>
          <w:numId w:val="8"/>
        </w:numPr>
      </w:pPr>
      <w:r>
        <w:t>персонал станции во время и после её постройки;</w:t>
      </w:r>
    </w:p>
    <w:p w:rsidR="00ED2B34" w:rsidRPr="00EE03DF" w:rsidRDefault="0044273E" w:rsidP="0044273E">
      <w:pPr>
        <w:pStyle w:val="ListParagraph"/>
        <w:numPr>
          <w:ilvl w:val="0"/>
          <w:numId w:val="8"/>
        </w:numPr>
      </w:pPr>
      <w:r>
        <w:t>б</w:t>
      </w:r>
      <w:r w:rsidR="00ED2B34" w:rsidRPr="00EE03DF">
        <w:t>ухгалтерия на ау</w:t>
      </w:r>
      <w:r w:rsidR="002B7C69" w:rsidRPr="00EE03DF">
        <w:t>т</w:t>
      </w:r>
      <w:r w:rsidR="00ED2B34" w:rsidRPr="00EE03DF">
        <w:t>сорс</w:t>
      </w:r>
      <w:r w:rsidR="002B7C69" w:rsidRPr="00EE03DF">
        <w:t>инге</w:t>
      </w:r>
      <w:r w:rsidR="00ED2B34" w:rsidRPr="00EE03DF">
        <w:t xml:space="preserve"> (проработано).</w:t>
      </w:r>
    </w:p>
    <w:p w:rsidR="00ED2B34" w:rsidRPr="00EE03DF" w:rsidRDefault="007A0E95" w:rsidP="0044273E">
      <w:pPr>
        <w:pStyle w:val="ListParagraph"/>
        <w:numPr>
          <w:ilvl w:val="0"/>
          <w:numId w:val="8"/>
        </w:numPr>
      </w:pPr>
      <w:r>
        <w:t>с</w:t>
      </w:r>
      <w:r w:rsidR="00ED2B34" w:rsidRPr="00EE03DF">
        <w:t xml:space="preserve">троителей и проектировщиков </w:t>
      </w:r>
      <w:r w:rsidR="002B7C69" w:rsidRPr="00EE03DF">
        <w:t>опытной станции</w:t>
      </w:r>
      <w:r w:rsidR="00ED2B34" w:rsidRPr="00EE03DF">
        <w:t xml:space="preserve"> привлекаем </w:t>
      </w:r>
      <w:r w:rsidR="002B7C69" w:rsidRPr="00EE03DF">
        <w:t xml:space="preserve">разово, </w:t>
      </w:r>
      <w:r w:rsidR="00ED2B34" w:rsidRPr="00EE03DF">
        <w:t>под проект (аутсорс</w:t>
      </w:r>
      <w:r w:rsidR="002B7C69" w:rsidRPr="00EE03DF">
        <w:t>инг</w:t>
      </w:r>
      <w:r w:rsidR="00ED2B34" w:rsidRPr="00EE03DF">
        <w:t>).</w:t>
      </w:r>
    </w:p>
    <w:p w:rsidR="007A0E95" w:rsidRDefault="007A0E95">
      <w:pPr>
        <w:ind w:firstLine="0"/>
        <w:jc w:val="left"/>
      </w:pPr>
      <w:r>
        <w:br w:type="page"/>
      </w:r>
    </w:p>
    <w:p w:rsidR="00B03C44" w:rsidRPr="00EE03DF" w:rsidRDefault="00B03C44" w:rsidP="0044273E">
      <w:pPr>
        <w:pStyle w:val="111List"/>
      </w:pPr>
      <w:r w:rsidRPr="00EE03DF">
        <w:lastRenderedPageBreak/>
        <w:t>С</w:t>
      </w:r>
      <w:r w:rsidR="00045209" w:rsidRPr="00EE03DF">
        <w:t xml:space="preserve">истема оплаты труда и годовой </w:t>
      </w:r>
      <w:r w:rsidRPr="00EE03DF">
        <w:t>фонд заработной платы;</w:t>
      </w:r>
    </w:p>
    <w:p w:rsidR="00ED2B34" w:rsidRPr="00EE03DF" w:rsidRDefault="00ED2B34" w:rsidP="0044273E">
      <w:r w:rsidRPr="00EE03DF">
        <w:t>Фиксированные оклады с опционами. Высокая доля командировочных расходов.</w:t>
      </w:r>
    </w:p>
    <w:p w:rsidR="00ED2B34" w:rsidRPr="00EE03DF" w:rsidRDefault="007A0E95" w:rsidP="00C96197">
      <w:pPr>
        <w:ind w:firstLine="0"/>
      </w:pPr>
      <w:r>
        <w:rPr>
          <w:noProof/>
          <w:lang w:val="en-US"/>
        </w:rPr>
        <w:drawing>
          <wp:inline distT="0" distB="0" distL="0" distR="0" wp14:anchorId="75135029" wp14:editId="00F73C72">
            <wp:extent cx="9239002" cy="524228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72" cy="52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95" w:rsidRDefault="007A0E95" w:rsidP="0044273E">
      <w:pPr>
        <w:pStyle w:val="111List"/>
        <w:sectPr w:rsidR="007A0E95" w:rsidSect="007A0E95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045209" w:rsidRPr="00EE03DF" w:rsidRDefault="00B03C44" w:rsidP="0044273E">
      <w:pPr>
        <w:pStyle w:val="111List"/>
      </w:pPr>
      <w:r w:rsidRPr="00EE03DF">
        <w:lastRenderedPageBreak/>
        <w:t>П</w:t>
      </w:r>
      <w:r w:rsidR="00045209" w:rsidRPr="00EE03DF">
        <w:t>редполагаемые изменения в структуре пер</w:t>
      </w:r>
      <w:r w:rsidRPr="00EE03DF">
        <w:t>сонала по мере развития бизнеса</w:t>
      </w:r>
      <w:r w:rsidR="00045209" w:rsidRPr="00EE03DF">
        <w:t>.</w:t>
      </w:r>
    </w:p>
    <w:p w:rsidR="00ED2B34" w:rsidRPr="00EE03DF" w:rsidRDefault="00ED2B34" w:rsidP="0044273E">
      <w:r w:rsidRPr="00EE03DF">
        <w:t xml:space="preserve">Ввиду ограниченности количества контрагентов радикального изменения штата не планируется, только </w:t>
      </w:r>
      <w:r w:rsidR="002B7C69" w:rsidRPr="00EE03DF">
        <w:t>увеличение количества</w:t>
      </w:r>
      <w:r w:rsidRPr="00EE03DF">
        <w:t xml:space="preserve"> продавцов</w:t>
      </w:r>
      <w:r w:rsidR="002B7C69" w:rsidRPr="00EE03DF">
        <w:t xml:space="preserve"> по мере необходимости</w:t>
      </w:r>
      <w:r w:rsidRPr="00EE03DF">
        <w:t>.</w:t>
      </w:r>
    </w:p>
    <w:p w:rsidR="00B03C44" w:rsidRPr="00EE03DF" w:rsidRDefault="00B03C44" w:rsidP="0044273E">
      <w:pPr>
        <w:pStyle w:val="1List"/>
      </w:pPr>
      <w:r w:rsidRPr="00EE03DF">
        <w:t>Организационный план.</w:t>
      </w:r>
    </w:p>
    <w:p w:rsidR="00B03C44" w:rsidRPr="00EE03DF" w:rsidRDefault="00B03C44" w:rsidP="0044273E">
      <w:pPr>
        <w:pStyle w:val="11List"/>
      </w:pPr>
      <w:r w:rsidRPr="00EE03DF">
        <w:t xml:space="preserve">Краткая характеристика членов совета директоров и высшего руководства </w:t>
      </w:r>
      <w:r w:rsidR="002B7C69" w:rsidRPr="00EE03DF">
        <w:t>компании</w:t>
      </w:r>
      <w:r w:rsidRPr="00EE03DF">
        <w:t>.</w:t>
      </w:r>
    </w:p>
    <w:p w:rsidR="0090611C" w:rsidRPr="00EE03DF" w:rsidRDefault="0090611C" w:rsidP="00CC2024">
      <w:pPr>
        <w:pStyle w:val="ListParagraph"/>
      </w:pPr>
      <w:r w:rsidRPr="00EE03DF">
        <w:t>А. Лисовский – экспат из СССР, частный предприниматель, инноватор, с опытом сложных переговоров и участия в массовых волонтёрских мероприятиях. Имеет навык общения в сложных переговорных условиях. Имеет практический опыт организационной работы в США. Имеет широкий контакт-лист.</w:t>
      </w:r>
    </w:p>
    <w:p w:rsidR="0090611C" w:rsidRPr="00EE03DF" w:rsidRDefault="0090611C" w:rsidP="00CC2024">
      <w:pPr>
        <w:pStyle w:val="ListParagraph"/>
      </w:pPr>
      <w:r w:rsidRPr="00EE03DF">
        <w:t>А. Богородский – автор изобретения, правообладатель, носитель идей интеграции внедряемой технологии в бизнес-модели потребителей с учётом интересов всех участников.</w:t>
      </w:r>
    </w:p>
    <w:p w:rsidR="0090611C" w:rsidRPr="00EE03DF" w:rsidRDefault="0090611C" w:rsidP="00CC2024">
      <w:pPr>
        <w:pStyle w:val="ListParagraph"/>
      </w:pPr>
    </w:p>
    <w:p w:rsidR="00B03C44" w:rsidRPr="00EE03DF" w:rsidRDefault="00B03C44" w:rsidP="0044273E">
      <w:pPr>
        <w:pStyle w:val="11List"/>
      </w:pPr>
      <w:r w:rsidRPr="00EE03DF">
        <w:t>Организационная структура управления компании-претендента (с указанием основных должностных обязанностей представителей высшего руководства).</w:t>
      </w:r>
    </w:p>
    <w:p w:rsidR="0090611C" w:rsidRPr="007A0E95" w:rsidRDefault="007A0E95" w:rsidP="00D8148C">
      <w:pPr>
        <w:rPr>
          <w:lang w:val="en-US"/>
        </w:rPr>
      </w:pPr>
      <w:r>
        <w:rPr>
          <w:lang w:val="en-US"/>
        </w:rPr>
        <w:t>C-Corporation</w:t>
      </w:r>
    </w:p>
    <w:p w:rsidR="00B03C44" w:rsidRPr="00EE03DF" w:rsidRDefault="00B03C44" w:rsidP="0044273E">
      <w:pPr>
        <w:pStyle w:val="11List"/>
      </w:pPr>
      <w:r w:rsidRPr="00EE03DF">
        <w:t>План-график основных мероприятий развития.</w:t>
      </w:r>
    </w:p>
    <w:p w:rsidR="0090611C" w:rsidRPr="00EE03DF" w:rsidRDefault="00D10D37" w:rsidP="00CC2024">
      <w:pPr>
        <w:pStyle w:val="ListParagraph"/>
      </w:pPr>
      <w:r w:rsidRPr="00EE03DF">
        <w:t>Прорабатывается</w:t>
      </w:r>
      <w:r w:rsidR="0044273E">
        <w:t xml:space="preserve"> по мере определения даты финансирования</w:t>
      </w:r>
      <w:r w:rsidR="0090611C" w:rsidRPr="00EE03DF">
        <w:t>.</w:t>
      </w:r>
      <w:r w:rsidR="0044273E">
        <w:t xml:space="preserve"> Контакты налажены, необходимо начинать предметные переговоры.</w:t>
      </w:r>
    </w:p>
    <w:p w:rsidR="0090611C" w:rsidRPr="00EE03DF" w:rsidRDefault="0090611C" w:rsidP="00CC2024">
      <w:pPr>
        <w:pStyle w:val="ListParagraph"/>
      </w:pPr>
    </w:p>
    <w:p w:rsidR="0090611C" w:rsidRDefault="00176176" w:rsidP="00566351">
      <w:pPr>
        <w:pStyle w:val="1List"/>
      </w:pPr>
      <w:r w:rsidRPr="00EE03DF">
        <w:t>Финансовый план</w:t>
      </w:r>
      <w:r w:rsidR="00566351">
        <w:t xml:space="preserve"> </w:t>
      </w:r>
      <w:r w:rsidR="00566351" w:rsidRPr="00566351">
        <w:t>и оценка эффективности проекта отражены в финансовой модели</w:t>
      </w:r>
      <w:r w:rsidR="00566351">
        <w:t>,</w:t>
      </w:r>
      <w:r w:rsidR="007A0E95" w:rsidRPr="007A0E95">
        <w:t xml:space="preserve"> </w:t>
      </w:r>
      <w:r w:rsidR="007A0E95">
        <w:t>по запросу</w:t>
      </w:r>
      <w:r w:rsidRPr="00EE03DF">
        <w:t xml:space="preserve">. </w:t>
      </w:r>
    </w:p>
    <w:p w:rsidR="00566351" w:rsidRPr="00EE03DF" w:rsidRDefault="00566351" w:rsidP="00566351">
      <w:pPr>
        <w:pStyle w:val="1List"/>
        <w:numPr>
          <w:ilvl w:val="0"/>
          <w:numId w:val="0"/>
        </w:numPr>
        <w:ind w:left="357"/>
      </w:pPr>
    </w:p>
    <w:p w:rsidR="00095271" w:rsidRPr="00EE03DF" w:rsidRDefault="00095271" w:rsidP="0044273E">
      <w:pPr>
        <w:pStyle w:val="1List"/>
      </w:pPr>
      <w:r w:rsidRPr="00EE03DF">
        <w:rPr>
          <w:b/>
        </w:rPr>
        <w:t>Оценка эффективности проекта и рисков его реализации.</w:t>
      </w:r>
      <w:r w:rsidRPr="00EE03DF">
        <w:t xml:space="preserve"> </w:t>
      </w:r>
      <w:r w:rsidR="009A53EC" w:rsidRPr="00EE03DF">
        <w:t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</w:t>
      </w:r>
    </w:p>
    <w:p w:rsidR="0018284B" w:rsidRPr="00EE03DF" w:rsidRDefault="0018284B" w:rsidP="0044273E">
      <w:pPr>
        <w:pStyle w:val="11List"/>
      </w:pPr>
      <w:r w:rsidRPr="00EE03DF">
        <w:t>Расчет абсолютных экономических показателей деятельности компании-претендента:</w:t>
      </w:r>
    </w:p>
    <w:p w:rsidR="0018284B" w:rsidRPr="00EE03DF" w:rsidRDefault="0018284B" w:rsidP="0044273E">
      <w:pPr>
        <w:pStyle w:val="111List"/>
      </w:pPr>
      <w:r w:rsidRPr="00EE03DF">
        <w:t>Выручка от реализации;</w:t>
      </w:r>
    </w:p>
    <w:p w:rsidR="0018284B" w:rsidRDefault="0018284B" w:rsidP="0044273E">
      <w:pPr>
        <w:pStyle w:val="111List"/>
      </w:pPr>
      <w:r w:rsidRPr="00EE03DF">
        <w:t>Анализ себестоимости продукции (работ, услуг);</w:t>
      </w:r>
    </w:p>
    <w:p w:rsidR="00684EB9" w:rsidRDefault="00684EB9" w:rsidP="00684EB9">
      <w:r>
        <w:t xml:space="preserve">Деятельность компании состоит в лицензировании, то есть продаже прав использования технологии. Так как компания является коммерческим </w:t>
      </w:r>
      <w:r>
        <w:lastRenderedPageBreak/>
        <w:t>оператором на основании исходной лицензии от изобретателя, в себестоимость входит постоянное роялти 25% и нерегулярные расходы на обеспечение самого процесса продаж: заработная плата продавцов и юристов, маркетинговые расходы и т.д.</w:t>
      </w:r>
    </w:p>
    <w:p w:rsidR="0018284B" w:rsidRDefault="0018284B" w:rsidP="0044273E">
      <w:pPr>
        <w:pStyle w:val="111List"/>
      </w:pPr>
      <w:r w:rsidRPr="00EE03DF">
        <w:t>Предложения по экономии затрат;</w:t>
      </w:r>
    </w:p>
    <w:p w:rsidR="00684EB9" w:rsidRPr="00EE03DF" w:rsidRDefault="00684EB9" w:rsidP="00684EB9">
      <w:r>
        <w:t>По мере наработки контрактов ожидается заметная типизация многих операций, наработка заготовок документов, собственной базы знаний.</w:t>
      </w:r>
    </w:p>
    <w:p w:rsidR="0018284B" w:rsidRDefault="0018284B" w:rsidP="0044273E">
      <w:pPr>
        <w:pStyle w:val="111List"/>
      </w:pPr>
      <w:r w:rsidRPr="00EE03DF">
        <w:t>Внереализационные доходы и расходы;</w:t>
      </w:r>
    </w:p>
    <w:p w:rsidR="00684EB9" w:rsidRDefault="00692765" w:rsidP="00684EB9">
      <w:r>
        <w:t>Внереализационных доходов не планируется.</w:t>
      </w:r>
    </w:p>
    <w:p w:rsidR="00692765" w:rsidRPr="00EE03DF" w:rsidRDefault="00692765" w:rsidP="00684EB9">
      <w:r>
        <w:t>Внереализационные расходы состоят из текущего жизнеобеспечения самой компании: содержание офиса, миинимальный набор обязательных активностей по подаче государственной отчётности и т.д.</w:t>
      </w:r>
    </w:p>
    <w:p w:rsidR="00692765" w:rsidRDefault="0018284B" w:rsidP="00692765">
      <w:pPr>
        <w:pStyle w:val="111List"/>
      </w:pPr>
      <w:r w:rsidRPr="00EE03DF">
        <w:t>Балансовая прибыль;</w:t>
      </w:r>
    </w:p>
    <w:p w:rsidR="00692765" w:rsidRPr="00EE03DF" w:rsidRDefault="007A0E95" w:rsidP="00692765">
      <w:r>
        <w:t>См. финмодель</w:t>
      </w:r>
    </w:p>
    <w:p w:rsidR="0018284B" w:rsidRDefault="0018284B" w:rsidP="0044273E">
      <w:pPr>
        <w:pStyle w:val="111List"/>
      </w:pPr>
      <w:r w:rsidRPr="00EE03DF">
        <w:t>Прибыль после налогообложения.</w:t>
      </w:r>
    </w:p>
    <w:p w:rsidR="00692765" w:rsidRPr="00EE03DF" w:rsidRDefault="007A0E95" w:rsidP="00692765">
      <w:bookmarkStart w:id="13" w:name="OLE_LINK10"/>
      <w:bookmarkStart w:id="14" w:name="OLE_LINK7"/>
      <w:r>
        <w:t>См. финмодель</w:t>
      </w:r>
    </w:p>
    <w:bookmarkEnd w:id="13"/>
    <w:bookmarkEnd w:id="14"/>
    <w:p w:rsidR="00D51B87" w:rsidRDefault="00D51B87" w:rsidP="0044273E">
      <w:pPr>
        <w:pStyle w:val="11List"/>
      </w:pPr>
      <w:r w:rsidRPr="00EE03DF">
        <w:t>Расчет чистой приведенной стоимости проекта (по месяцам).</w:t>
      </w:r>
    </w:p>
    <w:p w:rsidR="00692765" w:rsidRPr="00EE03DF" w:rsidRDefault="007A0E95" w:rsidP="00692765">
      <w:r>
        <w:t>См. финмодель</w:t>
      </w:r>
    </w:p>
    <w:p w:rsidR="00D51B87" w:rsidRDefault="00D51B87" w:rsidP="0044273E">
      <w:pPr>
        <w:pStyle w:val="11List"/>
      </w:pPr>
      <w:r w:rsidRPr="00EE03DF">
        <w:t>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w:t>
      </w:r>
    </w:p>
    <w:p w:rsidR="00692765" w:rsidRPr="00EE03DF" w:rsidRDefault="007A0E95" w:rsidP="00692765">
      <w:r>
        <w:t>См. финмодель</w:t>
      </w:r>
    </w:p>
    <w:p w:rsidR="00692765" w:rsidRPr="00692765" w:rsidRDefault="00692765" w:rsidP="00692765">
      <w:pPr>
        <w:rPr>
          <w:lang w:val="en-US"/>
        </w:rPr>
      </w:pPr>
      <w:r>
        <w:rPr>
          <w:lang w:val="en-US"/>
        </w:rPr>
        <w:t>IRR=</w:t>
      </w:r>
      <w:r w:rsidR="007A0E95">
        <w:rPr>
          <w:lang w:val="en-US"/>
        </w:rPr>
        <w:t>164</w:t>
      </w:r>
      <w:r>
        <w:rPr>
          <w:lang w:val="en-US"/>
        </w:rPr>
        <w:t>%</w:t>
      </w:r>
    </w:p>
    <w:p w:rsidR="00D51B87" w:rsidRDefault="00D51B87" w:rsidP="0044273E">
      <w:pPr>
        <w:pStyle w:val="11List"/>
      </w:pPr>
      <w:r w:rsidRPr="00EE03DF">
        <w:t>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:rsidR="00692765" w:rsidRPr="00EE03DF" w:rsidRDefault="007A0E95" w:rsidP="00692765">
      <w:bookmarkStart w:id="15" w:name="OLE_LINK11"/>
      <w:r>
        <w:t>См. финмодель</w:t>
      </w:r>
    </w:p>
    <w:bookmarkEnd w:id="15"/>
    <w:p w:rsidR="00692765" w:rsidRPr="00692765" w:rsidRDefault="00692765" w:rsidP="00692765">
      <w:r>
        <w:rPr>
          <w:lang w:val="en-US"/>
        </w:rPr>
        <w:t>PBP</w:t>
      </w:r>
      <w:r w:rsidRPr="00566351">
        <w:t xml:space="preserve"> = </w:t>
      </w:r>
      <w:r w:rsidR="007A0E95">
        <w:t>30 месяцев</w:t>
      </w:r>
    </w:p>
    <w:p w:rsidR="00D51B87" w:rsidRDefault="006A79EB" w:rsidP="0044273E">
      <w:pPr>
        <w:pStyle w:val="11List"/>
      </w:pPr>
      <w:r w:rsidRPr="00EE03DF">
        <w:t xml:space="preserve">Определение точки безубыточности деятельности компании-претендента (рассчитывается как </w:t>
      </w:r>
      <w:bookmarkStart w:id="16" w:name="OLE_LINK14"/>
      <w:r w:rsidRPr="00EE03DF">
        <w:t>отношение величины постоянных расходов к разности цены продукции и величины переменных расходов, деленной на объем реализации продукции</w:t>
      </w:r>
      <w:bookmarkEnd w:id="16"/>
      <w:r w:rsidRPr="00EE03DF">
        <w:t>).</w:t>
      </w:r>
    </w:p>
    <w:p w:rsidR="00692765" w:rsidRPr="00EE03DF" w:rsidRDefault="007A0E95" w:rsidP="00692765">
      <w:r>
        <w:lastRenderedPageBreak/>
        <w:t>См. финмодель</w:t>
      </w:r>
    </w:p>
    <w:p w:rsidR="00692765" w:rsidRPr="00095C68" w:rsidRDefault="00095C68" w:rsidP="00692765">
      <w:r>
        <w:t xml:space="preserve">940000/150=6300 </w:t>
      </w:r>
      <w:r>
        <w:rPr>
          <w:lang w:val="en-US"/>
        </w:rPr>
        <w:t xml:space="preserve">KW </w:t>
      </w:r>
      <w:r>
        <w:t>(в год)</w:t>
      </w:r>
    </w:p>
    <w:p w:rsidR="0069044D" w:rsidRPr="00EE03DF" w:rsidRDefault="0069044D" w:rsidP="0044273E">
      <w:pPr>
        <w:pStyle w:val="11List"/>
      </w:pPr>
      <w:r w:rsidRPr="00EE03DF">
        <w:t>Анализ основных видов рисков</w:t>
      </w:r>
    </w:p>
    <w:p w:rsidR="0069044D" w:rsidRPr="00EE03DF" w:rsidRDefault="0069044D" w:rsidP="0044273E">
      <w:pPr>
        <w:pStyle w:val="111List"/>
      </w:pPr>
      <w:r w:rsidRPr="00EE03DF">
        <w:t>Технологический риск:</w:t>
      </w:r>
    </w:p>
    <w:p w:rsidR="0069044D" w:rsidRDefault="0069044D" w:rsidP="0044273E">
      <w:pPr>
        <w:pStyle w:val="1111List"/>
      </w:pPr>
      <w:r w:rsidRPr="00EE03DF">
        <w:t>Отработанность технологии, наличие, исправность и ремонтопригодность оборудования;</w:t>
      </w:r>
    </w:p>
    <w:p w:rsidR="00C353D4" w:rsidRPr="00EE03DF" w:rsidRDefault="00C353D4" w:rsidP="00C353D4">
      <w:r>
        <w:t>Оборудование необходимо разработать путём доработки имеющихся моделей. Опыт и репутация предполагаемых партнёров позволяют ожидать высокую степень проработанности их решений.</w:t>
      </w:r>
    </w:p>
    <w:p w:rsidR="0069044D" w:rsidRDefault="0069044D" w:rsidP="0044273E">
      <w:pPr>
        <w:pStyle w:val="1111List"/>
      </w:pPr>
      <w:r w:rsidRPr="00EE03DF">
        <w:t>Наличие запасных частей, дополнительной оснастки и приспособлений;</w:t>
      </w:r>
    </w:p>
    <w:p w:rsidR="00095C68" w:rsidRPr="00EE03DF" w:rsidRDefault="00095C68" w:rsidP="00095C68">
      <w:bookmarkStart w:id="17" w:name="OLE_LINK15"/>
      <w:r>
        <w:t>Не применимо.</w:t>
      </w:r>
    </w:p>
    <w:bookmarkEnd w:id="17"/>
    <w:p w:rsidR="0069044D" w:rsidRDefault="0069044D" w:rsidP="0044273E">
      <w:pPr>
        <w:pStyle w:val="1111List"/>
      </w:pPr>
      <w:r w:rsidRPr="00EE03DF">
        <w:t>Оснащенность инструментом;</w:t>
      </w:r>
    </w:p>
    <w:p w:rsidR="00095C68" w:rsidRPr="00095C68" w:rsidRDefault="00095C68" w:rsidP="00095C68">
      <w:bookmarkStart w:id="18" w:name="OLE_LINK16"/>
      <w:r>
        <w:t>Не применимо.</w:t>
      </w:r>
    </w:p>
    <w:bookmarkEnd w:id="18"/>
    <w:p w:rsidR="0069044D" w:rsidRDefault="0069044D" w:rsidP="0044273E">
      <w:pPr>
        <w:pStyle w:val="1111List"/>
      </w:pPr>
      <w:r w:rsidRPr="00EE03DF">
        <w:t>Подготовка обслуживающего персонала;</w:t>
      </w:r>
    </w:p>
    <w:p w:rsidR="00095C68" w:rsidRPr="00095C68" w:rsidRDefault="00095C68" w:rsidP="00095C68">
      <w:bookmarkStart w:id="19" w:name="OLE_LINK17"/>
      <w:r>
        <w:t>Не применимо.</w:t>
      </w:r>
      <w:bookmarkEnd w:id="19"/>
    </w:p>
    <w:p w:rsidR="0069044D" w:rsidRDefault="0069044D" w:rsidP="0044273E">
      <w:pPr>
        <w:pStyle w:val="1111List"/>
      </w:pPr>
      <w:r w:rsidRPr="00EE03DF">
        <w:t>Наличие квалифицированных кадров, если это предусмотрено проектом;</w:t>
      </w:r>
    </w:p>
    <w:p w:rsidR="00095C68" w:rsidRPr="00095C68" w:rsidRDefault="00095C68" w:rsidP="00095C68">
      <w:r>
        <w:t>Необходимый набор персонала определён и может быть нанят в кратчайшие сроки.</w:t>
      </w:r>
    </w:p>
    <w:p w:rsidR="0069044D" w:rsidRDefault="0069044D" w:rsidP="0044273E">
      <w:pPr>
        <w:pStyle w:val="1111List"/>
      </w:pPr>
      <w:r w:rsidRPr="00EE03DF">
        <w:t>Участие в монтаже и обучении зарубежных специалистов.</w:t>
      </w:r>
    </w:p>
    <w:p w:rsidR="00095C68" w:rsidRPr="00095C68" w:rsidRDefault="00095C68" w:rsidP="00095C68">
      <w:bookmarkStart w:id="20" w:name="OLE_LINK18"/>
      <w:r>
        <w:t>Не применимо.</w:t>
      </w:r>
      <w:bookmarkEnd w:id="20"/>
    </w:p>
    <w:p w:rsidR="0069044D" w:rsidRDefault="0069044D" w:rsidP="0044273E">
      <w:pPr>
        <w:pStyle w:val="1111List"/>
      </w:pPr>
      <w:r w:rsidRPr="00EE03DF">
        <w:t>Органи</w:t>
      </w:r>
      <w:r w:rsidR="00095C68">
        <w:t>зационный и управленческий риск;</w:t>
      </w:r>
    </w:p>
    <w:p w:rsidR="00095C68" w:rsidRDefault="00095C68" w:rsidP="00095C68">
      <w:r>
        <w:t>В команде закрыты позиции по оперативному управлению в США (А. Лисовский), специальному юридическому сопровождению (</w:t>
      </w:r>
      <w:r w:rsidR="007A0E95">
        <w:t xml:space="preserve">контракт с </w:t>
      </w:r>
      <w:r w:rsidR="007A0E95">
        <w:rPr>
          <w:lang w:val="en-US"/>
        </w:rPr>
        <w:t>Legalzoom</w:t>
      </w:r>
      <w:r>
        <w:t>), общим техническим компетенциям и проектному управлению (А. Богородский). По культурным причинам потребуется нанять официальное лицо из американских менеджеров, но это является общей практикой в США и такой персонал является конкурсным, нанимается легко и имеет требуемую подготовку к моменту найма.</w:t>
      </w:r>
    </w:p>
    <w:p w:rsidR="00095C68" w:rsidRPr="00095C68" w:rsidRDefault="00095C68" w:rsidP="00095C68">
      <w:r>
        <w:t>Ввиду крайней компактности и узкой ориентированности бизнес</w:t>
      </w:r>
      <w:r>
        <w:noBreakHyphen/>
        <w:t xml:space="preserve">процессов не ожидается большой рост управленческой иерархии, - </w:t>
      </w:r>
      <w:r w:rsidR="00BE73E6">
        <w:t xml:space="preserve">управленческий </w:t>
      </w:r>
      <w:r>
        <w:t xml:space="preserve">риск </w:t>
      </w:r>
      <w:r w:rsidR="00BE73E6">
        <w:t>минимален.</w:t>
      </w:r>
    </w:p>
    <w:p w:rsidR="0069044D" w:rsidRDefault="0069044D" w:rsidP="0044273E">
      <w:pPr>
        <w:pStyle w:val="1111List"/>
      </w:pPr>
      <w:r w:rsidRPr="00EE03DF">
        <w:t>Наличие и гарантия выполнения плана-графика выполнения работ;</w:t>
      </w:r>
    </w:p>
    <w:p w:rsidR="00BE73E6" w:rsidRPr="00BE73E6" w:rsidRDefault="00BE73E6" w:rsidP="00BE73E6">
      <w:r>
        <w:lastRenderedPageBreak/>
        <w:t>Высокая степень неопределённости переговорных процессов и зависимости от внутренних регламентов контрагентов не позволяют детально планировать план-график, однако тот факт, что деятельность компании потенциально генерирует контрагентам миллиарды долларов финансовых потоков, выполнение наших продаж будет поддерживаться внешними заинтересованными сторонами с на порядки более высокой, чем у нас, мотивацией.</w:t>
      </w:r>
    </w:p>
    <w:p w:rsidR="0069044D" w:rsidRDefault="0069044D" w:rsidP="0044273E">
      <w:pPr>
        <w:pStyle w:val="1111List"/>
      </w:pPr>
      <w:r w:rsidRPr="00EE03DF">
        <w:t>Заинтересованность всех участников в выполнении плана-графика;</w:t>
      </w:r>
    </w:p>
    <w:p w:rsidR="00BE73E6" w:rsidRPr="00BE73E6" w:rsidRDefault="0037671B" w:rsidP="00BE73E6">
      <w:r>
        <w:t>Финансовая,</w:t>
      </w:r>
      <w:r w:rsidR="00BE73E6">
        <w:t xml:space="preserve"> крайне высока.</w:t>
      </w:r>
    </w:p>
    <w:p w:rsidR="0069044D" w:rsidRDefault="0069044D" w:rsidP="0044273E">
      <w:pPr>
        <w:pStyle w:val="1111List"/>
      </w:pPr>
      <w:r w:rsidRPr="00EE03DF">
        <w:t>Возможность дублирования организационных срывов;</w:t>
      </w:r>
    </w:p>
    <w:p w:rsidR="00BE73E6" w:rsidRPr="00BE73E6" w:rsidRDefault="00BE73E6" w:rsidP="00BE73E6">
      <w:r>
        <w:t>Не применимо.</w:t>
      </w:r>
    </w:p>
    <w:p w:rsidR="0069044D" w:rsidRDefault="0069044D" w:rsidP="0044273E">
      <w:pPr>
        <w:pStyle w:val="1111List"/>
      </w:pPr>
      <w:r w:rsidRPr="00EE03DF">
        <w:t>Наличие квалифицированного управленческого персонала (сертификация менеджеров);</w:t>
      </w:r>
    </w:p>
    <w:p w:rsidR="00BE73E6" w:rsidRPr="00BE73E6" w:rsidRDefault="00BE73E6" w:rsidP="00BE73E6">
      <w:r>
        <w:t>Планируемая структура управления не предполагает востребованности сертифицированных менеджеров.</w:t>
      </w:r>
    </w:p>
    <w:p w:rsidR="0069044D" w:rsidRDefault="0069044D" w:rsidP="0044273E">
      <w:pPr>
        <w:pStyle w:val="1111List"/>
      </w:pPr>
      <w:r w:rsidRPr="00EE03DF">
        <w:t>Отношения с местными органами власти.</w:t>
      </w:r>
    </w:p>
    <w:p w:rsidR="00BE73E6" w:rsidRPr="00BE73E6" w:rsidRDefault="00BE73E6" w:rsidP="00BE73E6">
      <w:r>
        <w:t>Местные власти публично декларировали свою позицию (см. выше) и деятельность компании не только полностью ей соответствует, но и удовлетворяет интересам местных властей, поэтому ожидается тёплое и лояльное отношение со стороны властей всех уровней.</w:t>
      </w:r>
    </w:p>
    <w:p w:rsidR="0069044D" w:rsidRDefault="0069044D" w:rsidP="0044273E">
      <w:pPr>
        <w:pStyle w:val="111List"/>
      </w:pPr>
      <w:r w:rsidRPr="00EE03DF">
        <w:t>Риск материально-технического обеспечения:</w:t>
      </w:r>
    </w:p>
    <w:p w:rsidR="00BE73E6" w:rsidRPr="00EE03DF" w:rsidRDefault="00BE73E6" w:rsidP="00BE73E6">
      <w:r>
        <w:t xml:space="preserve">Стройка опытной станции по организационным причинам делается внешними поставщиками и подрядчиками. Высокая заинтересованность и конкуренция со стороны поставщиков позволяет оперативно выбирать наилучшие варианты. </w:t>
      </w:r>
    </w:p>
    <w:p w:rsidR="0039749D" w:rsidRPr="00EE03DF" w:rsidRDefault="0039749D" w:rsidP="0044273E">
      <w:pPr>
        <w:pStyle w:val="111List"/>
      </w:pPr>
      <w:r w:rsidRPr="00EE03DF">
        <w:t>Экономические риски:</w:t>
      </w:r>
    </w:p>
    <w:p w:rsidR="0039749D" w:rsidRDefault="0039749D" w:rsidP="0044273E">
      <w:pPr>
        <w:pStyle w:val="1111List"/>
      </w:pPr>
      <w:r w:rsidRPr="00EE03DF">
        <w:t>Устойчивость экономического положения претендента к изменениям макроэкономического положения в стране реализации проекта;</w:t>
      </w:r>
    </w:p>
    <w:p w:rsidR="00BE73E6" w:rsidRPr="00BE73E6" w:rsidRDefault="00BE73E6" w:rsidP="00BE73E6">
      <w:r>
        <w:t>Высокая, так как предлагаемый компанией продукт отличается высокой технико-экономической эффективностью и относится к первоначальным (энергетическим) потребностям экономики.</w:t>
      </w:r>
    </w:p>
    <w:p w:rsidR="0039749D" w:rsidRDefault="0039749D" w:rsidP="0044273E">
      <w:pPr>
        <w:pStyle w:val="1111List"/>
      </w:pPr>
      <w:r w:rsidRPr="00EE03DF">
        <w:t>Оценка последствий повышения тарифов и цен на стратегические ресурсы;</w:t>
      </w:r>
    </w:p>
    <w:p w:rsidR="00BE73E6" w:rsidRPr="00BE73E6" w:rsidRDefault="00BE73E6" w:rsidP="00BE73E6">
      <w:r>
        <w:t>Повышение цен на электроэнергию повысит востребованность продукции компании. В данный момент цены на сталь находятся под государственной защитой, так как имеют тенденцию к падению.</w:t>
      </w:r>
    </w:p>
    <w:p w:rsidR="0039749D" w:rsidRDefault="0039749D" w:rsidP="0044273E">
      <w:pPr>
        <w:pStyle w:val="1111List"/>
      </w:pPr>
      <w:r w:rsidRPr="00EE03DF">
        <w:lastRenderedPageBreak/>
        <w:t>Возможность снижения платежеспособного спроса на продукцию в субъекте и в целом по стране реализации проекта;</w:t>
      </w:r>
    </w:p>
    <w:p w:rsidR="00BE73E6" w:rsidRPr="00BE73E6" w:rsidRDefault="00BE73E6" w:rsidP="00BE73E6">
      <w:r>
        <w:rPr>
          <w:lang w:val="en-US"/>
        </w:rPr>
        <w:t>US</w:t>
      </w:r>
      <w:r w:rsidRPr="00BE73E6">
        <w:t xml:space="preserve"> </w:t>
      </w:r>
      <w:r>
        <w:rPr>
          <w:lang w:val="en-US"/>
        </w:rPr>
        <w:t>EIA</w:t>
      </w:r>
      <w:r w:rsidRPr="00BE73E6">
        <w:t xml:space="preserve"> </w:t>
      </w:r>
      <w:r>
        <w:t>планирует рост рынка в разы превышающий оптимистичные планы роста компании.</w:t>
      </w:r>
    </w:p>
    <w:p w:rsidR="0039749D" w:rsidRDefault="0039749D" w:rsidP="0044273E">
      <w:pPr>
        <w:pStyle w:val="1111List"/>
      </w:pPr>
      <w:r w:rsidRPr="00EE03DF">
        <w:t>Наличие альтернативных рынков сбыта;</w:t>
      </w:r>
    </w:p>
    <w:p w:rsidR="00BE73E6" w:rsidRPr="00BE73E6" w:rsidRDefault="00BE73E6" w:rsidP="00BE73E6">
      <w:r>
        <w:t>Не предусмотрено.</w:t>
      </w:r>
    </w:p>
    <w:p w:rsidR="0039749D" w:rsidRDefault="0039749D" w:rsidP="0044273E">
      <w:pPr>
        <w:pStyle w:val="1111List"/>
      </w:pPr>
      <w:r w:rsidRPr="00EE03DF">
        <w:t>Последствия ухудшения налогового климата.</w:t>
      </w:r>
    </w:p>
    <w:p w:rsidR="00BE73E6" w:rsidRPr="00BE73E6" w:rsidRDefault="00BE73E6" w:rsidP="00BE73E6">
      <w:r>
        <w:t>Не ожидается.</w:t>
      </w:r>
    </w:p>
    <w:p w:rsidR="0039749D" w:rsidRDefault="0039749D" w:rsidP="0044273E">
      <w:pPr>
        <w:pStyle w:val="111List"/>
      </w:pPr>
      <w:r w:rsidRPr="00EE03DF">
        <w:t>Экологические риски (возможные штрафные санкции и их влияние на экономическое положение претендента).</w:t>
      </w:r>
    </w:p>
    <w:p w:rsidR="0044273E" w:rsidRPr="0044273E" w:rsidRDefault="0044273E" w:rsidP="0044273E">
      <w:r>
        <w:t xml:space="preserve">Позиция государства сформулирована в совместном Докладе </w:t>
      </w:r>
      <w:r w:rsidRPr="0044273E">
        <w:t>California Energy Commission и California Ocean Protection (2008): необходимо выяснять и настаивать на управлении воздействием на океан</w:t>
      </w:r>
      <w:r>
        <w:t xml:space="preserve">. Технология изначально подразумевает </w:t>
      </w:r>
      <w:r w:rsidR="00C353D4">
        <w:t>возможность и необходимость регулярного осмотра станции и соответствующее документирование её воздействия на природу. Управление воздействием является неотъемлемым свойством системы управления самой станцией. Полное соответствие позиции властей.</w:t>
      </w:r>
    </w:p>
    <w:p w:rsidR="0039749D" w:rsidRPr="00EE03DF" w:rsidRDefault="0039749D" w:rsidP="0037671B">
      <w:pPr>
        <w:pStyle w:val="1List"/>
      </w:pPr>
      <w:r w:rsidRPr="00EE03DF">
        <w:rPr>
          <w:b/>
        </w:rPr>
        <w:t>Приложение.</w:t>
      </w:r>
      <w:r w:rsidRPr="00EE03DF">
        <w:t xml:space="preserve"> </w:t>
      </w:r>
      <w:r w:rsidR="0037671B">
        <w:t>Финансовая модель доступна по запросу.</w:t>
      </w:r>
      <w:bookmarkStart w:id="21" w:name="_GoBack"/>
      <w:bookmarkEnd w:id="21"/>
    </w:p>
    <w:sectPr w:rsidR="0039749D" w:rsidRPr="00EE03DF" w:rsidSect="007A0E95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26" w:rsidRDefault="008E6826" w:rsidP="00CC2024">
      <w:r>
        <w:separator/>
      </w:r>
    </w:p>
  </w:endnote>
  <w:endnote w:type="continuationSeparator" w:id="0">
    <w:p w:rsidR="008E6826" w:rsidRDefault="008E6826" w:rsidP="00CC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527792"/>
      <w:docPartObj>
        <w:docPartGallery w:val="Page Numbers (Bottom of Page)"/>
        <w:docPartUnique/>
      </w:docPartObj>
    </w:sdtPr>
    <w:sdtEndPr/>
    <w:sdtContent>
      <w:p w:rsidR="00F710B7" w:rsidRDefault="00F710B7" w:rsidP="00CC202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1B">
          <w:rPr>
            <w:noProof/>
          </w:rPr>
          <w:t>18</w:t>
        </w:r>
        <w:r>
          <w:fldChar w:fldCharType="end"/>
        </w:r>
      </w:p>
    </w:sdtContent>
  </w:sdt>
  <w:p w:rsidR="00F710B7" w:rsidRDefault="00F710B7" w:rsidP="00CC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26" w:rsidRDefault="008E6826" w:rsidP="00CC2024">
      <w:r>
        <w:separator/>
      </w:r>
    </w:p>
  </w:footnote>
  <w:footnote w:type="continuationSeparator" w:id="0">
    <w:p w:rsidR="008E6826" w:rsidRDefault="008E6826" w:rsidP="00CC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74F"/>
    <w:multiLevelType w:val="hybridMultilevel"/>
    <w:tmpl w:val="62106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3E5123"/>
    <w:multiLevelType w:val="multilevel"/>
    <w:tmpl w:val="4516B32E"/>
    <w:lvl w:ilvl="0">
      <w:start w:val="1"/>
      <w:numFmt w:val="decimal"/>
      <w:pStyle w:val="1List"/>
      <w:lvlText w:val="%1."/>
      <w:lvlJc w:val="left"/>
      <w:pPr>
        <w:ind w:left="360" w:hanging="360"/>
      </w:pPr>
    </w:lvl>
    <w:lvl w:ilvl="1">
      <w:start w:val="1"/>
      <w:numFmt w:val="decimal"/>
      <w:pStyle w:val="11List"/>
      <w:lvlText w:val="%1.%2."/>
      <w:lvlJc w:val="left"/>
      <w:pPr>
        <w:ind w:left="792" w:hanging="432"/>
      </w:pPr>
    </w:lvl>
    <w:lvl w:ilvl="2">
      <w:start w:val="1"/>
      <w:numFmt w:val="decimal"/>
      <w:pStyle w:val="111List"/>
      <w:lvlText w:val="%1.%2.%3."/>
      <w:lvlJc w:val="left"/>
      <w:pPr>
        <w:ind w:left="1224" w:hanging="504"/>
      </w:pPr>
    </w:lvl>
    <w:lvl w:ilvl="3">
      <w:start w:val="1"/>
      <w:numFmt w:val="decimal"/>
      <w:pStyle w:val="1111Lis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D0380"/>
    <w:multiLevelType w:val="hybridMultilevel"/>
    <w:tmpl w:val="8C681A64"/>
    <w:lvl w:ilvl="0" w:tplc="18FE1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9B4143"/>
    <w:multiLevelType w:val="hybridMultilevel"/>
    <w:tmpl w:val="D32862B4"/>
    <w:lvl w:ilvl="0" w:tplc="01E02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BD4177"/>
    <w:multiLevelType w:val="hybridMultilevel"/>
    <w:tmpl w:val="56182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AB0D71"/>
    <w:multiLevelType w:val="hybridMultilevel"/>
    <w:tmpl w:val="8F32FD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3333CD6"/>
    <w:multiLevelType w:val="hybridMultilevel"/>
    <w:tmpl w:val="523C19D4"/>
    <w:lvl w:ilvl="0" w:tplc="1F30F49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E250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E32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A67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00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84C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880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E0E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2A7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464043"/>
    <w:multiLevelType w:val="hybridMultilevel"/>
    <w:tmpl w:val="17DA7140"/>
    <w:lvl w:ilvl="0" w:tplc="123012F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C047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1A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AC94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07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4A5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A5C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6FB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C6B8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B8"/>
    <w:rsid w:val="00036207"/>
    <w:rsid w:val="00045209"/>
    <w:rsid w:val="00067C22"/>
    <w:rsid w:val="00075292"/>
    <w:rsid w:val="00094233"/>
    <w:rsid w:val="00095271"/>
    <w:rsid w:val="0009538B"/>
    <w:rsid w:val="00095C68"/>
    <w:rsid w:val="000E7B09"/>
    <w:rsid w:val="000F6BFB"/>
    <w:rsid w:val="00174625"/>
    <w:rsid w:val="00176176"/>
    <w:rsid w:val="0018284B"/>
    <w:rsid w:val="001B2323"/>
    <w:rsid w:val="001C3BD1"/>
    <w:rsid w:val="00213159"/>
    <w:rsid w:val="002515F3"/>
    <w:rsid w:val="00291103"/>
    <w:rsid w:val="00291BDE"/>
    <w:rsid w:val="002A38BE"/>
    <w:rsid w:val="002B7C69"/>
    <w:rsid w:val="002C20FB"/>
    <w:rsid w:val="002C4104"/>
    <w:rsid w:val="00302AA1"/>
    <w:rsid w:val="0033623D"/>
    <w:rsid w:val="0037671B"/>
    <w:rsid w:val="003871E3"/>
    <w:rsid w:val="0039749D"/>
    <w:rsid w:val="003A7742"/>
    <w:rsid w:val="003B5710"/>
    <w:rsid w:val="00401B24"/>
    <w:rsid w:val="0044273E"/>
    <w:rsid w:val="004A69F9"/>
    <w:rsid w:val="004F440B"/>
    <w:rsid w:val="004F4870"/>
    <w:rsid w:val="005128FC"/>
    <w:rsid w:val="0051767D"/>
    <w:rsid w:val="00534A9D"/>
    <w:rsid w:val="00566351"/>
    <w:rsid w:val="005C18B4"/>
    <w:rsid w:val="005F5074"/>
    <w:rsid w:val="0060517A"/>
    <w:rsid w:val="00661004"/>
    <w:rsid w:val="0067144B"/>
    <w:rsid w:val="00684EB9"/>
    <w:rsid w:val="0069044D"/>
    <w:rsid w:val="006920DD"/>
    <w:rsid w:val="00692765"/>
    <w:rsid w:val="006A79EB"/>
    <w:rsid w:val="006F266F"/>
    <w:rsid w:val="006F709C"/>
    <w:rsid w:val="007309B3"/>
    <w:rsid w:val="00732C38"/>
    <w:rsid w:val="00752E67"/>
    <w:rsid w:val="00761B29"/>
    <w:rsid w:val="007673D5"/>
    <w:rsid w:val="007A0E95"/>
    <w:rsid w:val="007D2A81"/>
    <w:rsid w:val="007D3EE2"/>
    <w:rsid w:val="007E09B9"/>
    <w:rsid w:val="00821678"/>
    <w:rsid w:val="00841BE4"/>
    <w:rsid w:val="00851E4C"/>
    <w:rsid w:val="00882D49"/>
    <w:rsid w:val="008B708B"/>
    <w:rsid w:val="008D56EA"/>
    <w:rsid w:val="008E6826"/>
    <w:rsid w:val="0090611C"/>
    <w:rsid w:val="0093041F"/>
    <w:rsid w:val="00936E6A"/>
    <w:rsid w:val="00951A6E"/>
    <w:rsid w:val="00964BA2"/>
    <w:rsid w:val="0097659D"/>
    <w:rsid w:val="00990B14"/>
    <w:rsid w:val="009A53EC"/>
    <w:rsid w:val="009B6FF4"/>
    <w:rsid w:val="00A17059"/>
    <w:rsid w:val="00A35D8E"/>
    <w:rsid w:val="00A773EE"/>
    <w:rsid w:val="00AE4152"/>
    <w:rsid w:val="00B03C44"/>
    <w:rsid w:val="00B3454A"/>
    <w:rsid w:val="00B57351"/>
    <w:rsid w:val="00B62501"/>
    <w:rsid w:val="00BD257E"/>
    <w:rsid w:val="00BE285C"/>
    <w:rsid w:val="00BE73E6"/>
    <w:rsid w:val="00BF0222"/>
    <w:rsid w:val="00C07CE0"/>
    <w:rsid w:val="00C14AA1"/>
    <w:rsid w:val="00C353D4"/>
    <w:rsid w:val="00C95152"/>
    <w:rsid w:val="00C96197"/>
    <w:rsid w:val="00CB674B"/>
    <w:rsid w:val="00CC2024"/>
    <w:rsid w:val="00D10D37"/>
    <w:rsid w:val="00D51B87"/>
    <w:rsid w:val="00D65536"/>
    <w:rsid w:val="00D80BFB"/>
    <w:rsid w:val="00D8148C"/>
    <w:rsid w:val="00DD4540"/>
    <w:rsid w:val="00DF4969"/>
    <w:rsid w:val="00E40619"/>
    <w:rsid w:val="00E81B07"/>
    <w:rsid w:val="00E83732"/>
    <w:rsid w:val="00ED2B34"/>
    <w:rsid w:val="00EE03DF"/>
    <w:rsid w:val="00EE36F2"/>
    <w:rsid w:val="00EF1F5F"/>
    <w:rsid w:val="00EF4CC1"/>
    <w:rsid w:val="00EF77EE"/>
    <w:rsid w:val="00F1056A"/>
    <w:rsid w:val="00F40C15"/>
    <w:rsid w:val="00F64636"/>
    <w:rsid w:val="00F710B7"/>
    <w:rsid w:val="00FC316C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52270"/>
  <w15:docId w15:val="{5C6E3899-90A1-411B-88E2-782120AF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68"/>
    <w:pPr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2024"/>
    <w:pPr>
      <w:spacing w:before="120" w:after="120"/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A"/>
  </w:style>
  <w:style w:type="paragraph" w:styleId="Footer">
    <w:name w:val="footer"/>
    <w:basedOn w:val="Normal"/>
    <w:link w:val="FooterChar"/>
    <w:uiPriority w:val="99"/>
    <w:unhideWhenUsed/>
    <w:rsid w:val="00B3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A"/>
  </w:style>
  <w:style w:type="paragraph" w:styleId="NormalWeb">
    <w:name w:val="Normal (Web)"/>
    <w:basedOn w:val="Normal"/>
    <w:uiPriority w:val="99"/>
    <w:unhideWhenUsed/>
    <w:rsid w:val="002C4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1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40B"/>
    <w:rPr>
      <w:color w:val="954F72" w:themeColor="followedHyperlink"/>
      <w:u w:val="single"/>
    </w:rPr>
  </w:style>
  <w:style w:type="paragraph" w:customStyle="1" w:styleId="11List">
    <w:name w:val="1.1 List"/>
    <w:basedOn w:val="ListParagraph"/>
    <w:next w:val="Normal"/>
    <w:link w:val="11ListChar"/>
    <w:qFormat/>
    <w:rsid w:val="00A17059"/>
    <w:pPr>
      <w:numPr>
        <w:ilvl w:val="1"/>
        <w:numId w:val="1"/>
      </w:numPr>
      <w:spacing w:line="240" w:lineRule="auto"/>
    </w:pPr>
  </w:style>
  <w:style w:type="paragraph" w:customStyle="1" w:styleId="1List">
    <w:name w:val="1. List"/>
    <w:basedOn w:val="ListParagraph"/>
    <w:link w:val="1ListChar"/>
    <w:qFormat/>
    <w:rsid w:val="008D56EA"/>
    <w:pPr>
      <w:numPr>
        <w:numId w:val="1"/>
      </w:numPr>
      <w:spacing w:line="240" w:lineRule="auto"/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C2024"/>
    <w:rPr>
      <w:rFonts w:ascii="Times New Roman" w:hAnsi="Times New Roman" w:cs="Times New Roman"/>
      <w:sz w:val="28"/>
    </w:rPr>
  </w:style>
  <w:style w:type="character" w:customStyle="1" w:styleId="11ListChar">
    <w:name w:val="1.1 List Char"/>
    <w:basedOn w:val="ListParagraphChar"/>
    <w:link w:val="11List"/>
    <w:rsid w:val="00A17059"/>
    <w:rPr>
      <w:rFonts w:ascii="Times New Roman" w:hAnsi="Times New Roman" w:cs="Times New Roman"/>
      <w:sz w:val="28"/>
    </w:rPr>
  </w:style>
  <w:style w:type="paragraph" w:customStyle="1" w:styleId="111List">
    <w:name w:val="1.1.1 List"/>
    <w:basedOn w:val="11List"/>
    <w:link w:val="111ListChar"/>
    <w:qFormat/>
    <w:rsid w:val="008D56EA"/>
    <w:pPr>
      <w:numPr>
        <w:ilvl w:val="2"/>
      </w:numPr>
      <w:ind w:left="0" w:firstLine="0"/>
    </w:pPr>
  </w:style>
  <w:style w:type="character" w:customStyle="1" w:styleId="1ListChar">
    <w:name w:val="1. List Char"/>
    <w:basedOn w:val="ListParagraphChar"/>
    <w:link w:val="1List"/>
    <w:rsid w:val="008D56EA"/>
    <w:rPr>
      <w:rFonts w:ascii="Times New Roman" w:hAnsi="Times New Roman" w:cs="Times New Roman"/>
      <w:sz w:val="28"/>
    </w:rPr>
  </w:style>
  <w:style w:type="paragraph" w:customStyle="1" w:styleId="Table">
    <w:name w:val="Table"/>
    <w:basedOn w:val="Normal"/>
    <w:link w:val="TableChar"/>
    <w:qFormat/>
    <w:rsid w:val="00E83732"/>
    <w:pPr>
      <w:spacing w:after="0" w:line="240" w:lineRule="auto"/>
      <w:ind w:firstLine="0"/>
    </w:pPr>
    <w:rPr>
      <w:sz w:val="22"/>
      <w:lang w:val="en-US" w:eastAsia="ru-RU"/>
    </w:rPr>
  </w:style>
  <w:style w:type="character" w:customStyle="1" w:styleId="111ListChar">
    <w:name w:val="1.1.1 List Char"/>
    <w:basedOn w:val="11ListChar"/>
    <w:link w:val="111List"/>
    <w:rsid w:val="008D56EA"/>
    <w:rPr>
      <w:rFonts w:ascii="Times New Roman" w:hAnsi="Times New Roman" w:cs="Times New Roman"/>
      <w:sz w:val="28"/>
    </w:rPr>
  </w:style>
  <w:style w:type="paragraph" w:customStyle="1" w:styleId="1111List">
    <w:name w:val="1.1.1.1 List"/>
    <w:basedOn w:val="111List"/>
    <w:next w:val="Normal"/>
    <w:link w:val="1111ListChar"/>
    <w:qFormat/>
    <w:rsid w:val="0044273E"/>
    <w:pPr>
      <w:numPr>
        <w:ilvl w:val="3"/>
      </w:numPr>
      <w:ind w:left="0" w:firstLine="0"/>
    </w:pPr>
  </w:style>
  <w:style w:type="character" w:customStyle="1" w:styleId="TableChar">
    <w:name w:val="Table Char"/>
    <w:basedOn w:val="DefaultParagraphFont"/>
    <w:link w:val="Table"/>
    <w:rsid w:val="00E83732"/>
    <w:rPr>
      <w:rFonts w:ascii="Times New Roman" w:hAnsi="Times New Roman" w:cs="Times New Roman"/>
      <w:lang w:val="en-US" w:eastAsia="ru-RU"/>
    </w:rPr>
  </w:style>
  <w:style w:type="character" w:customStyle="1" w:styleId="1111ListChar">
    <w:name w:val="1.1.1.1 List Char"/>
    <w:basedOn w:val="111ListChar"/>
    <w:link w:val="1111List"/>
    <w:rsid w:val="0044273E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39"/>
    <w:rsid w:val="0073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89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1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2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1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1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1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6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8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16E2-4E5E-4B30-A1F7-5A6C21C8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3216</Words>
  <Characters>18337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6</cp:revision>
  <cp:lastPrinted>2018-03-17T16:08:00Z</cp:lastPrinted>
  <dcterms:created xsi:type="dcterms:W3CDTF">2019-04-15T17:17:00Z</dcterms:created>
  <dcterms:modified xsi:type="dcterms:W3CDTF">2019-04-15T17:53:00Z</dcterms:modified>
</cp:coreProperties>
</file>